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5B" w:rsidRPr="00684DF7" w:rsidRDefault="00A0495B" w:rsidP="00684DF7">
      <w:pPr>
        <w:jc w:val="center"/>
        <w:rPr>
          <w:b/>
          <w:sz w:val="20"/>
          <w:szCs w:val="20"/>
        </w:rPr>
      </w:pPr>
      <w:r w:rsidRPr="00684DF7">
        <w:rPr>
          <w:b/>
          <w:sz w:val="20"/>
          <w:szCs w:val="20"/>
        </w:rPr>
        <w:t xml:space="preserve">ZESTAWIENIE UWAG ZGŁOSZONYCH DO PROJEKTU PLANU OCHRONY DLA PARKU NARODOWEGO „UJŚCIE WARTY” </w:t>
      </w:r>
      <w:r w:rsidR="00684DF7">
        <w:rPr>
          <w:b/>
          <w:sz w:val="20"/>
          <w:szCs w:val="20"/>
        </w:rPr>
        <w:br/>
      </w:r>
      <w:r w:rsidRPr="00684DF7">
        <w:rPr>
          <w:b/>
          <w:sz w:val="20"/>
          <w:szCs w:val="20"/>
        </w:rPr>
        <w:t>WRAZ Z ODPOWIEDZIAMI ZESPOŁU AUTORSKIEGO</w:t>
      </w:r>
    </w:p>
    <w:p w:rsidR="00A0495B" w:rsidRPr="005E625C" w:rsidRDefault="00A0495B" w:rsidP="002B4445">
      <w:bookmarkStart w:id="0" w:name="_GoBack"/>
      <w:bookmarkEnd w:id="0"/>
    </w:p>
    <w:p w:rsidR="00A0495B" w:rsidRPr="005E625C" w:rsidRDefault="00A0495B" w:rsidP="002B4445"/>
    <w:tbl>
      <w:tblPr>
        <w:tblStyle w:val="Tabela-Siatka"/>
        <w:tblW w:w="5000" w:type="pct"/>
        <w:tblLook w:val="04A0" w:firstRow="1" w:lastRow="0" w:firstColumn="1" w:lastColumn="0" w:noHBand="0" w:noVBand="1"/>
      </w:tblPr>
      <w:tblGrid>
        <w:gridCol w:w="453"/>
        <w:gridCol w:w="1318"/>
        <w:gridCol w:w="1320"/>
        <w:gridCol w:w="1755"/>
        <w:gridCol w:w="1971"/>
        <w:gridCol w:w="3640"/>
        <w:gridCol w:w="3763"/>
      </w:tblGrid>
      <w:tr w:rsidR="00262215" w:rsidRPr="00684DF7" w:rsidTr="002616E2">
        <w:trPr>
          <w:trHeight w:val="20"/>
        </w:trPr>
        <w:tc>
          <w:tcPr>
            <w:tcW w:w="159" w:type="pct"/>
            <w:vAlign w:val="center"/>
          </w:tcPr>
          <w:p w:rsidR="00A0495B" w:rsidRPr="00684DF7" w:rsidRDefault="00A0495B" w:rsidP="002B4445">
            <w:pPr>
              <w:rPr>
                <w:b/>
              </w:rPr>
            </w:pPr>
            <w:r w:rsidRPr="00684DF7">
              <w:rPr>
                <w:b/>
              </w:rPr>
              <w:t>Lp.</w:t>
            </w:r>
          </w:p>
        </w:tc>
        <w:tc>
          <w:tcPr>
            <w:tcW w:w="463" w:type="pct"/>
            <w:vAlign w:val="center"/>
          </w:tcPr>
          <w:p w:rsidR="00A0495B" w:rsidRPr="00684DF7" w:rsidRDefault="00A0495B" w:rsidP="002B4445">
            <w:pPr>
              <w:rPr>
                <w:b/>
              </w:rPr>
            </w:pPr>
            <w:r w:rsidRPr="00684DF7">
              <w:rPr>
                <w:b/>
              </w:rPr>
              <w:t>Zgłaszający</w:t>
            </w:r>
          </w:p>
        </w:tc>
        <w:tc>
          <w:tcPr>
            <w:tcW w:w="464" w:type="pct"/>
            <w:vAlign w:val="center"/>
          </w:tcPr>
          <w:p w:rsidR="00A0495B" w:rsidRPr="00684DF7" w:rsidRDefault="00A0495B" w:rsidP="002B4445">
            <w:pPr>
              <w:rPr>
                <w:b/>
              </w:rPr>
            </w:pPr>
            <w:r w:rsidRPr="00684DF7">
              <w:rPr>
                <w:b/>
              </w:rPr>
              <w:t>Nr §, ustępu, punktu</w:t>
            </w:r>
          </w:p>
        </w:tc>
        <w:tc>
          <w:tcPr>
            <w:tcW w:w="617" w:type="pct"/>
            <w:vAlign w:val="center"/>
          </w:tcPr>
          <w:p w:rsidR="00A0495B" w:rsidRPr="00684DF7" w:rsidRDefault="00A0495B" w:rsidP="002B4445">
            <w:pPr>
              <w:rPr>
                <w:b/>
              </w:rPr>
            </w:pPr>
            <w:r w:rsidRPr="00684DF7">
              <w:rPr>
                <w:b/>
              </w:rPr>
              <w:t>Treść do której wnoszona jest uwaga</w:t>
            </w:r>
          </w:p>
        </w:tc>
        <w:tc>
          <w:tcPr>
            <w:tcW w:w="693" w:type="pct"/>
            <w:vAlign w:val="center"/>
          </w:tcPr>
          <w:p w:rsidR="00A0495B" w:rsidRPr="00684DF7" w:rsidRDefault="00A0495B" w:rsidP="002B4445">
            <w:pPr>
              <w:rPr>
                <w:b/>
              </w:rPr>
            </w:pPr>
            <w:r w:rsidRPr="00684DF7">
              <w:rPr>
                <w:b/>
              </w:rPr>
              <w:t>Proponowany zapis</w:t>
            </w:r>
          </w:p>
        </w:tc>
        <w:tc>
          <w:tcPr>
            <w:tcW w:w="1280" w:type="pct"/>
            <w:vAlign w:val="center"/>
          </w:tcPr>
          <w:p w:rsidR="00A0495B" w:rsidRPr="00684DF7" w:rsidRDefault="00A0495B" w:rsidP="002B4445">
            <w:pPr>
              <w:rPr>
                <w:b/>
              </w:rPr>
            </w:pPr>
            <w:r w:rsidRPr="00684DF7">
              <w:rPr>
                <w:b/>
              </w:rPr>
              <w:t>Uzasadnienie zmian</w:t>
            </w:r>
          </w:p>
        </w:tc>
        <w:tc>
          <w:tcPr>
            <w:tcW w:w="1323" w:type="pct"/>
            <w:vAlign w:val="center"/>
          </w:tcPr>
          <w:p w:rsidR="00A0495B" w:rsidRPr="00684DF7" w:rsidRDefault="00A0495B" w:rsidP="002B4445">
            <w:pPr>
              <w:rPr>
                <w:b/>
              </w:rPr>
            </w:pPr>
            <w:r w:rsidRPr="00684DF7">
              <w:rPr>
                <w:b/>
              </w:rPr>
              <w:t>Stanowisko zespołu autorskiego</w:t>
            </w:r>
          </w:p>
        </w:tc>
      </w:tr>
      <w:tr w:rsidR="00AA226D" w:rsidRPr="00A0495B" w:rsidTr="002616E2">
        <w:trPr>
          <w:trHeight w:val="20"/>
        </w:trPr>
        <w:tc>
          <w:tcPr>
            <w:tcW w:w="159" w:type="pct"/>
          </w:tcPr>
          <w:p w:rsidR="00AA226D" w:rsidRPr="00A0495B" w:rsidRDefault="00AA226D" w:rsidP="00102A12">
            <w:pPr>
              <w:pStyle w:val="Akapitzlist"/>
              <w:numPr>
                <w:ilvl w:val="0"/>
                <w:numId w:val="5"/>
              </w:numPr>
              <w:ind w:left="57" w:firstLine="0"/>
            </w:pPr>
          </w:p>
        </w:tc>
        <w:tc>
          <w:tcPr>
            <w:tcW w:w="463" w:type="pct"/>
          </w:tcPr>
          <w:p w:rsidR="00AA226D" w:rsidRPr="00C17B03" w:rsidRDefault="00AA226D" w:rsidP="00AA226D">
            <w:r>
              <w:t>Generalna Dyrekcja Ochrony Środowiska</w:t>
            </w:r>
          </w:p>
        </w:tc>
        <w:tc>
          <w:tcPr>
            <w:tcW w:w="464" w:type="pct"/>
          </w:tcPr>
          <w:p w:rsidR="00AA226D" w:rsidRDefault="00AA226D" w:rsidP="00D8591D">
            <w:r>
              <w:t>Rozdz</w:t>
            </w:r>
            <w:r w:rsidR="00D8591D">
              <w:t>.</w:t>
            </w:r>
            <w:r>
              <w:t xml:space="preserve"> 5 </w:t>
            </w:r>
          </w:p>
        </w:tc>
        <w:tc>
          <w:tcPr>
            <w:tcW w:w="617" w:type="pct"/>
          </w:tcPr>
          <w:p w:rsidR="00AA226D" w:rsidRDefault="00AA226D" w:rsidP="00AA226D">
            <w:r>
              <w:t>Cały pkt 1 „Wskaźniki właściwego stanu ochrony siedlisk przyrodniczych…” opracowano jedynie dla wskaźników kardynalnych</w:t>
            </w:r>
          </w:p>
        </w:tc>
        <w:tc>
          <w:tcPr>
            <w:tcW w:w="693" w:type="pct"/>
          </w:tcPr>
          <w:p w:rsidR="00AA226D" w:rsidRDefault="00AA226D" w:rsidP="00AA226D">
            <w:r>
              <w:t xml:space="preserve">W rozdziale powinny być ujęte wszystkie wskaźniki wynikające z PMŚ i poszczególnym miarom wskaźników powinny być przypisane odpowiednie oceny - w załączonej tabela 1 akceptowalnego przez KE zestawienia wskaźników dla siedliska 3160 Naturalne, dystroficzne zbiorniki wodne </w:t>
            </w:r>
          </w:p>
        </w:tc>
        <w:tc>
          <w:tcPr>
            <w:tcW w:w="1280" w:type="pct"/>
          </w:tcPr>
          <w:p w:rsidR="00AA226D" w:rsidRDefault="00AA226D" w:rsidP="00AA226D">
            <w:r>
              <w:t xml:space="preserve">Takie ujęcie wskaźników stanu ochrony powinno być stosowane z dwóch powodów: </w:t>
            </w:r>
          </w:p>
          <w:p w:rsidR="00AA226D" w:rsidRDefault="00AA226D" w:rsidP="00AA226D">
            <w:r>
              <w:t xml:space="preserve">1. W związku z zarzutami formalnymi Komisji Europejskiej zawartymi w piśmie z dnia 6 czerwca 2021 r , znak INFR(2021)2025 C(2021)2179, w których Komisja uznała, że Rzeczpospolita Polska nie spełniła wymogów art. 4 ust. 4 dyrektywy siedliskowej, gdyż nie ustanowiła wystarczająco precyzyjnych celów ochrony dla 845 obszarów o znaczeniu dla Wspólnoty, zaistniała potrzeba zwrócenia szczególnej uwagi na sposób formułowania celów ochrony dla poszczególnych przedmiotów ochrony obszarów Natura 2000 w zatwierdzanych dokumentach planistycznych. Obowiązek ustalenia precyzyjnych celów ochrony dla każdego obszaru Natura 2000 wynika z wykładni art. 4 ust. 4 dyrektywy siedliskowej, kontekstu oraz w świetle celu Dyrektywy siedliskowej (sprawa C-849/19, Komisja/Grecja, pkt 46-5231) - przy ustanawianiu planów ochrony dla parków narodowych z zakresem planu ochrony lub planu zadań ochronnych obszaru Natura 2000 dla poszczególnych przedmiotów ochrony obszaru Natura 2000 opracowywane powinny być szczegółowe cele ich ochrony na poziomie wskaźników stanu ochrony odpowiadających poszczególnym parametrom stanu ochrony w ten sposób, żeby były określone docelowe, wynikające z metodyki PMŚ </w:t>
            </w:r>
            <w:r>
              <w:lastRenderedPageBreak/>
              <w:t>GIOŚ, konkretne miary wskaźników. Zbyt ogólne określanie celów będzie skutkowało pogłębianiem kolizji z wymogami wynikającymi z art. 4 ust. 4 dyrektywy siedliskowej</w:t>
            </w:r>
          </w:p>
          <w:p w:rsidR="00AA226D" w:rsidRDefault="00AA226D" w:rsidP="00AA226D">
            <w:r>
              <w:t xml:space="preserve">2. W celu ujednolicenia podejścia przy określaniu wskaźników stanu ochrony z innymi obszarami Natura 2000 </w:t>
            </w:r>
          </w:p>
        </w:tc>
        <w:tc>
          <w:tcPr>
            <w:tcW w:w="1323" w:type="pct"/>
          </w:tcPr>
          <w:p w:rsidR="00AA226D" w:rsidRPr="00AA226D" w:rsidRDefault="00AA226D" w:rsidP="00262215">
            <w:pPr>
              <w:rPr>
                <w:b/>
                <w:color w:val="00B050"/>
              </w:rPr>
            </w:pPr>
            <w:r w:rsidRPr="00AA226D">
              <w:rPr>
                <w:b/>
                <w:color w:val="00B050"/>
              </w:rPr>
              <w:lastRenderedPageBreak/>
              <w:t>Uwaga uwzględniona</w:t>
            </w:r>
          </w:p>
          <w:p w:rsidR="00AA226D" w:rsidRDefault="00AA226D" w:rsidP="00AA226D">
            <w:r>
              <w:t xml:space="preserve">Rozdział 5 </w:t>
            </w:r>
            <w:r w:rsidR="00087EEF">
              <w:t xml:space="preserve">pkt 1 </w:t>
            </w:r>
            <w:r>
              <w:t>został przeredagowany zgodnie ze wskazaniem GDOŚ, tzn.</w:t>
            </w:r>
            <w:r w:rsidR="00102A12">
              <w:t xml:space="preserve"> </w:t>
            </w:r>
            <w:r w:rsidR="00087EEF">
              <w:t xml:space="preserve">dla siedlisk przyrodniczych stanowiących przedmiot ochrony obszaru Natura 2000, zidentyfikowanych w graniach Parku określono wskaźniki stanu ochrony możliwe do osiągnięcia w okresie obowiązywania Planu. </w:t>
            </w:r>
          </w:p>
          <w:p w:rsidR="00087EEF" w:rsidRDefault="00087EEF" w:rsidP="00087EEF">
            <w:r>
              <w:t>W rozdz. 5 dopisano lub przeredagowano zapisy dotyczące właściwego stanu ochrony:</w:t>
            </w:r>
          </w:p>
          <w:p w:rsidR="00087EEF" w:rsidRPr="00087EEF" w:rsidRDefault="00087EEF" w:rsidP="00087EEF">
            <w:pPr>
              <w:spacing w:before="60" w:line="252" w:lineRule="auto"/>
              <w:rPr>
                <w:rFonts w:cs="Times New Roman"/>
                <w:i/>
                <w:color w:val="000000" w:themeColor="text1"/>
              </w:rPr>
            </w:pPr>
            <w:r w:rsidRPr="00087EEF">
              <w:rPr>
                <w:rFonts w:cs="Times New Roman"/>
                <w:i/>
                <w:color w:val="000000" w:themeColor="text1"/>
              </w:rPr>
              <w:t>1. Celem działań w stosunku do przedmiotów ochrony obszaru Natura 2000 PLC080001 Ujście Warty w części objętej granicami Parku jest utrzymanie lub odtworzenie właściwego stanu ochrony (FV) albo niepogarszanie aktualnego stanu ochrony, w sytuacjach, kiedy nie jest to możliwe m.in. ze względu na znaczne przekształcenie warunków hydrologicznych, brak możliwości wykształcenia typowego dla części siedlisk przyrodniczych składu gatunkowego w perspektywie obowiązywania Planu ochrony, brak s</w:t>
            </w:r>
            <w:r>
              <w:rPr>
                <w:rFonts w:cs="Times New Roman"/>
                <w:i/>
                <w:color w:val="000000" w:themeColor="text1"/>
              </w:rPr>
              <w:t>k</w:t>
            </w:r>
            <w:r w:rsidRPr="00087EEF">
              <w:rPr>
                <w:rFonts w:cs="Times New Roman"/>
                <w:i/>
                <w:color w:val="000000" w:themeColor="text1"/>
              </w:rPr>
              <w:t>utecznych metod zwalczania niektórych gatunków inwazyjnych, naturalne fluktuacje gatunków lub inne uwarunkowania klimatyczne, przyrodnicze czy gospodarcze.</w:t>
            </w:r>
          </w:p>
          <w:p w:rsidR="00087EEF" w:rsidRDefault="00087EEF" w:rsidP="00087EEF">
            <w:pPr>
              <w:spacing w:before="60" w:line="252" w:lineRule="auto"/>
              <w:rPr>
                <w:rFonts w:cs="Times New Roman"/>
                <w:i/>
                <w:color w:val="000000" w:themeColor="text1"/>
              </w:rPr>
            </w:pPr>
            <w:r w:rsidRPr="00087EEF">
              <w:rPr>
                <w:rFonts w:cs="Times New Roman"/>
                <w:i/>
                <w:color w:val="000000" w:themeColor="text1"/>
              </w:rPr>
              <w:t xml:space="preserve">2. Warunki utrzymania lub odtworzenia właściwego stanu ochrony </w:t>
            </w:r>
            <w:r w:rsidRPr="00087EEF">
              <w:rPr>
                <w:rFonts w:cs="Times New Roman"/>
                <w:i/>
              </w:rPr>
              <w:t>lub w przypadku braku możliwości osiągnięcia takiego stanu, warunki nie pogarszania aktualnego stanu ochrony</w:t>
            </w:r>
            <w:r w:rsidR="00102A12">
              <w:rPr>
                <w:rFonts w:cs="Times New Roman"/>
                <w:i/>
              </w:rPr>
              <w:t xml:space="preserve"> </w:t>
            </w:r>
            <w:r w:rsidRPr="00087EEF">
              <w:rPr>
                <w:rFonts w:cs="Times New Roman"/>
                <w:i/>
                <w:color w:val="000000" w:themeColor="text1"/>
              </w:rPr>
              <w:t xml:space="preserve">następujących przedmiotów ochrony </w:t>
            </w:r>
            <w:r w:rsidRPr="00087EEF">
              <w:rPr>
                <w:rFonts w:cs="Times New Roman"/>
                <w:i/>
                <w:color w:val="000000" w:themeColor="text1"/>
              </w:rPr>
              <w:lastRenderedPageBreak/>
              <w:t xml:space="preserve">obszaru Natura 2000 PLC080001 Ujście Warty występujących na obszarze Parku: </w:t>
            </w:r>
          </w:p>
          <w:p w:rsidR="004D7DFF" w:rsidRPr="004D7DFF" w:rsidRDefault="004D7DFF" w:rsidP="008F4EF9">
            <w:pPr>
              <w:spacing w:before="60" w:line="252" w:lineRule="auto"/>
            </w:pPr>
            <w:r w:rsidRPr="004D7DFF">
              <w:rPr>
                <w:rFonts w:cs="Times New Roman"/>
                <w:color w:val="000000" w:themeColor="text1"/>
              </w:rPr>
              <w:t xml:space="preserve">Dla </w:t>
            </w:r>
            <w:r>
              <w:rPr>
                <w:rFonts w:cs="Times New Roman"/>
                <w:color w:val="000000" w:themeColor="text1"/>
              </w:rPr>
              <w:t>siedlisk pozostających w dynamicznie zmieniającym się kompleksie  (3130 i 3150) poda</w:t>
            </w:r>
            <w:r w:rsidR="008F4EF9">
              <w:rPr>
                <w:rFonts w:cs="Times New Roman"/>
                <w:color w:val="000000" w:themeColor="text1"/>
              </w:rPr>
              <w:t>no powierzchnię łączną.  Analogicznie postąpiono w przypadku bardzo niewielkich powierzchniowo płatów siedliska 6210 współwystępujących z siedliskiem 6120.</w:t>
            </w:r>
          </w:p>
        </w:tc>
      </w:tr>
      <w:tr w:rsidR="00AA226D" w:rsidRPr="00A0495B" w:rsidTr="002616E2">
        <w:trPr>
          <w:trHeight w:val="20"/>
        </w:trPr>
        <w:tc>
          <w:tcPr>
            <w:tcW w:w="159" w:type="pct"/>
          </w:tcPr>
          <w:p w:rsidR="00AA226D" w:rsidRPr="00A0495B" w:rsidRDefault="00AA226D" w:rsidP="00102A12">
            <w:pPr>
              <w:pStyle w:val="Akapitzlist"/>
              <w:numPr>
                <w:ilvl w:val="0"/>
                <w:numId w:val="5"/>
              </w:numPr>
              <w:ind w:left="57" w:firstLine="0"/>
            </w:pPr>
          </w:p>
        </w:tc>
        <w:tc>
          <w:tcPr>
            <w:tcW w:w="463" w:type="pct"/>
          </w:tcPr>
          <w:p w:rsidR="00AA226D" w:rsidRPr="00C17B03" w:rsidRDefault="00AA226D" w:rsidP="004D1526">
            <w:r>
              <w:t>Generalna Dyrekcja Ochrony Środowiska</w:t>
            </w:r>
          </w:p>
        </w:tc>
        <w:tc>
          <w:tcPr>
            <w:tcW w:w="464" w:type="pct"/>
          </w:tcPr>
          <w:p w:rsidR="00AA226D" w:rsidRDefault="00AA226D" w:rsidP="00D8591D">
            <w:r>
              <w:t>Rozdz</w:t>
            </w:r>
            <w:r w:rsidR="00D8591D">
              <w:t xml:space="preserve">. </w:t>
            </w:r>
            <w:r>
              <w:t xml:space="preserve"> 5 </w:t>
            </w:r>
          </w:p>
        </w:tc>
        <w:tc>
          <w:tcPr>
            <w:tcW w:w="617" w:type="pct"/>
          </w:tcPr>
          <w:p w:rsidR="00AA226D" w:rsidRDefault="00AA226D" w:rsidP="00AA226D">
            <w:r>
              <w:t>pkt 2. „Wskaźniki właściwego stanu ochrony zwierząt wymienionych…” oraz 3. „Wskaźniki właściwego stanu ochrony gatunków ptaków…”</w:t>
            </w:r>
          </w:p>
        </w:tc>
        <w:tc>
          <w:tcPr>
            <w:tcW w:w="693" w:type="pct"/>
          </w:tcPr>
          <w:p w:rsidR="00AA226D" w:rsidRDefault="00AA226D" w:rsidP="00AA226D">
            <w:r>
              <w:t>Pominięto wskaźniki odnoszące się do siedlisk gatunków</w:t>
            </w:r>
          </w:p>
        </w:tc>
        <w:tc>
          <w:tcPr>
            <w:tcW w:w="1280" w:type="pct"/>
          </w:tcPr>
          <w:p w:rsidR="00AA226D" w:rsidRDefault="00AA226D" w:rsidP="00AA226D">
            <w:proofErr w:type="spellStart"/>
            <w:r>
              <w:t>j.w</w:t>
            </w:r>
            <w:proofErr w:type="spellEnd"/>
            <w:r>
              <w:t>.</w:t>
            </w:r>
          </w:p>
        </w:tc>
        <w:tc>
          <w:tcPr>
            <w:tcW w:w="1323" w:type="pct"/>
          </w:tcPr>
          <w:p w:rsidR="00087EEF" w:rsidRPr="00AA226D" w:rsidRDefault="00087EEF" w:rsidP="00087EEF">
            <w:pPr>
              <w:rPr>
                <w:b/>
                <w:color w:val="00B050"/>
              </w:rPr>
            </w:pPr>
            <w:r w:rsidRPr="00AA226D">
              <w:rPr>
                <w:b/>
                <w:color w:val="00B050"/>
              </w:rPr>
              <w:t>Uwaga uwzględniona</w:t>
            </w:r>
          </w:p>
          <w:p w:rsidR="00AA226D" w:rsidRPr="00684DF7" w:rsidRDefault="00087EEF" w:rsidP="00087EEF">
            <w:pPr>
              <w:rPr>
                <w:b/>
                <w:color w:val="FFC000"/>
              </w:rPr>
            </w:pPr>
            <w:r>
              <w:t>Rozdział 5 pkt 2 został przeredagowany zgodnie ze wskazaniem GDOŚ – dla każdego z gatunków ptaków stanowiących przedmiot ochrony obszaru Natura 2000, zidentyfikowanych w graniach Parku określono wskaźniki właściwego stanu siedlisk, określając ich referencyjną powierzchnię</w:t>
            </w:r>
          </w:p>
        </w:tc>
      </w:tr>
      <w:tr w:rsidR="00B36D63" w:rsidRPr="00A0495B" w:rsidTr="002616E2">
        <w:trPr>
          <w:trHeight w:val="20"/>
        </w:trPr>
        <w:tc>
          <w:tcPr>
            <w:tcW w:w="159" w:type="pct"/>
          </w:tcPr>
          <w:p w:rsidR="00B36D63" w:rsidRPr="00A0495B" w:rsidRDefault="00B36D63" w:rsidP="00102A12">
            <w:pPr>
              <w:pStyle w:val="Akapitzlist"/>
              <w:numPr>
                <w:ilvl w:val="0"/>
                <w:numId w:val="5"/>
              </w:numPr>
              <w:ind w:left="57" w:firstLine="0"/>
            </w:pPr>
          </w:p>
        </w:tc>
        <w:tc>
          <w:tcPr>
            <w:tcW w:w="463" w:type="pct"/>
          </w:tcPr>
          <w:p w:rsidR="00B36D63" w:rsidRPr="00C17B03" w:rsidRDefault="00B36D63" w:rsidP="00262215">
            <w:r>
              <w:t>Regionalna Dyrekcja Ochrony Środowiska w Gorzowie Wlkp.</w:t>
            </w:r>
          </w:p>
        </w:tc>
        <w:tc>
          <w:tcPr>
            <w:tcW w:w="464" w:type="pct"/>
          </w:tcPr>
          <w:p w:rsidR="00B36D63" w:rsidRDefault="00B36D63" w:rsidP="00D8591D">
            <w:r>
              <w:t>Rozdz</w:t>
            </w:r>
            <w:r w:rsidR="00D8591D">
              <w:t>.</w:t>
            </w:r>
            <w:r>
              <w:t xml:space="preserve"> 5 </w:t>
            </w:r>
          </w:p>
        </w:tc>
        <w:tc>
          <w:tcPr>
            <w:tcW w:w="617" w:type="pct"/>
          </w:tcPr>
          <w:p w:rsidR="00B36D63" w:rsidRDefault="00B36D63" w:rsidP="00C17B03"/>
        </w:tc>
        <w:tc>
          <w:tcPr>
            <w:tcW w:w="693" w:type="pct"/>
          </w:tcPr>
          <w:p w:rsidR="00B36D63" w:rsidRDefault="00B36D63" w:rsidP="00C17B03"/>
        </w:tc>
        <w:tc>
          <w:tcPr>
            <w:tcW w:w="1280" w:type="pct"/>
          </w:tcPr>
          <w:p w:rsidR="00B36D63" w:rsidRDefault="00B36D63" w:rsidP="00B36D63">
            <w:r>
              <w:t xml:space="preserve">Rozdział 5 nie wypełnia w pełni wymogów Komisji Europejskiej co do ich jakości. Informuje, że zgodnie ze stanowiskiem Komisji funkcja celów ochrony polega na określeniu jaki stan zachowania gatunku i typów siedlisk na danym obszarze należy osiągnąć, tak aby obszar ten mógł przyczynić się do osiągnięcia ogólnego celu jakim jest właściwy stan ochrony tych gatunków i typów siedlisk na poziomie krajowym biogeograficznym lub europejskim. </w:t>
            </w:r>
          </w:p>
        </w:tc>
        <w:tc>
          <w:tcPr>
            <w:tcW w:w="1323" w:type="pct"/>
          </w:tcPr>
          <w:p w:rsidR="00B36D63" w:rsidRPr="00AA226D" w:rsidRDefault="00B36D63" w:rsidP="00B36D63">
            <w:pPr>
              <w:rPr>
                <w:b/>
                <w:color w:val="00B050"/>
              </w:rPr>
            </w:pPr>
            <w:r w:rsidRPr="00AA226D">
              <w:rPr>
                <w:b/>
                <w:color w:val="00B050"/>
              </w:rPr>
              <w:t>Uwaga uwzględniona</w:t>
            </w:r>
          </w:p>
          <w:p w:rsidR="00B36D63" w:rsidRPr="00684DF7" w:rsidRDefault="00B36D63" w:rsidP="00B36D63">
            <w:pPr>
              <w:rPr>
                <w:b/>
                <w:color w:val="FFC000"/>
              </w:rPr>
            </w:pPr>
            <w:r>
              <w:t>Rozdział 5 pkt 1 i 3 został przeredagowany, zgodnie ze wskazaniami RDOŚ i GDOŚ, tzn. dla siedlisk przyrodniczych oraz gatunków ptaków stanowiących przedmiot ochrony obszaru Natura 2000, zidentyfikowanych w graniach Parku określono wskaźniki stanu ochrony możliwe do osiągnięcia w okresie obowiązywania Planu</w:t>
            </w:r>
          </w:p>
        </w:tc>
      </w:tr>
      <w:tr w:rsidR="00B36D63" w:rsidRPr="00A0495B" w:rsidTr="002616E2">
        <w:trPr>
          <w:trHeight w:val="20"/>
        </w:trPr>
        <w:tc>
          <w:tcPr>
            <w:tcW w:w="159" w:type="pct"/>
          </w:tcPr>
          <w:p w:rsidR="00B36D63" w:rsidRPr="00A0495B" w:rsidRDefault="00B36D63" w:rsidP="00102A12">
            <w:pPr>
              <w:pStyle w:val="Akapitzlist"/>
              <w:numPr>
                <w:ilvl w:val="0"/>
                <w:numId w:val="5"/>
              </w:numPr>
              <w:ind w:left="57" w:firstLine="0"/>
            </w:pPr>
          </w:p>
        </w:tc>
        <w:tc>
          <w:tcPr>
            <w:tcW w:w="463" w:type="pct"/>
          </w:tcPr>
          <w:p w:rsidR="00B36D63" w:rsidRDefault="00B36D63" w:rsidP="00262215">
            <w:r>
              <w:t>Regionalna Dyrekcja Ochrony Środowiska w Gorzowie Wlkp.</w:t>
            </w:r>
          </w:p>
        </w:tc>
        <w:tc>
          <w:tcPr>
            <w:tcW w:w="464" w:type="pct"/>
          </w:tcPr>
          <w:p w:rsidR="00B36D63" w:rsidRDefault="00B36D63" w:rsidP="00D8591D">
            <w:r>
              <w:t>Rozdz</w:t>
            </w:r>
            <w:r w:rsidR="00D8591D">
              <w:t>.</w:t>
            </w:r>
            <w:r>
              <w:t xml:space="preserve"> 6 pkt. 5.4</w:t>
            </w:r>
          </w:p>
        </w:tc>
        <w:tc>
          <w:tcPr>
            <w:tcW w:w="617" w:type="pct"/>
          </w:tcPr>
          <w:p w:rsidR="00B36D63" w:rsidRDefault="00B36D63" w:rsidP="00B36D63">
            <w:r>
              <w:t>użytkowanie zgodnie z wymogami odpowiedniego pakietu rolno-środowiskowo-klimatycznego w ramach obowiązującego Programu Rozwoju Obszarów Wiejskich</w:t>
            </w:r>
          </w:p>
        </w:tc>
        <w:tc>
          <w:tcPr>
            <w:tcW w:w="693" w:type="pct"/>
          </w:tcPr>
          <w:p w:rsidR="00B36D63" w:rsidRDefault="00B36D63" w:rsidP="00B36D63">
            <w:r>
              <w:t>użytkowanie zgodnie z wymogami zobowiązań rolno-środowiskowo-klimatycznych Wspólnej Polityki Rolnej</w:t>
            </w:r>
          </w:p>
        </w:tc>
        <w:tc>
          <w:tcPr>
            <w:tcW w:w="1280" w:type="pct"/>
          </w:tcPr>
          <w:p w:rsidR="00B36D63" w:rsidRDefault="00B36D63" w:rsidP="00B36D63">
            <w:r>
              <w:t>Proponowany zapis koresponduje z obowiązującym aktualnie planem strategicznym dla Wspólnej Polityki Rolnej na lata 2023-2007 na podstawie którego realizowane będzie wsparcie finansowe dla rolników</w:t>
            </w:r>
          </w:p>
        </w:tc>
        <w:tc>
          <w:tcPr>
            <w:tcW w:w="1323" w:type="pct"/>
          </w:tcPr>
          <w:p w:rsidR="00B36D63" w:rsidRPr="00AA226D" w:rsidRDefault="00B36D63" w:rsidP="00B36D63">
            <w:pPr>
              <w:rPr>
                <w:b/>
                <w:color w:val="00B050"/>
              </w:rPr>
            </w:pPr>
            <w:r w:rsidRPr="00AA226D">
              <w:rPr>
                <w:b/>
                <w:color w:val="00B050"/>
              </w:rPr>
              <w:t>Uwaga uwzględniona</w:t>
            </w:r>
          </w:p>
          <w:p w:rsidR="00B36D63" w:rsidRPr="00B36D63" w:rsidRDefault="00B36D63" w:rsidP="00B36D63">
            <w:pPr>
              <w:rPr>
                <w:color w:val="000000" w:themeColor="text1"/>
              </w:rPr>
            </w:pPr>
            <w:r w:rsidRPr="00B36D63">
              <w:rPr>
                <w:color w:val="000000" w:themeColor="text1"/>
              </w:rPr>
              <w:t>Zapis zmieniono zgodnie ze wskazaniem</w:t>
            </w:r>
          </w:p>
        </w:tc>
      </w:tr>
      <w:tr w:rsidR="00AA226D" w:rsidRPr="00A0495B" w:rsidTr="002616E2">
        <w:trPr>
          <w:trHeight w:val="20"/>
        </w:trPr>
        <w:tc>
          <w:tcPr>
            <w:tcW w:w="159" w:type="pct"/>
          </w:tcPr>
          <w:p w:rsidR="00AA226D" w:rsidRPr="00A0495B" w:rsidRDefault="00AA226D" w:rsidP="00102A12">
            <w:pPr>
              <w:pStyle w:val="Akapitzlist"/>
              <w:numPr>
                <w:ilvl w:val="0"/>
                <w:numId w:val="5"/>
              </w:numPr>
              <w:ind w:left="57" w:firstLine="0"/>
            </w:pPr>
          </w:p>
        </w:tc>
        <w:tc>
          <w:tcPr>
            <w:tcW w:w="463" w:type="pct"/>
          </w:tcPr>
          <w:p w:rsidR="00AA226D" w:rsidRDefault="00AA226D" w:rsidP="00262215">
            <w:r w:rsidRPr="00C17B03">
              <w:t>Regionalna Dyrekcja Lasów Państwowych w Szczecinie</w:t>
            </w:r>
          </w:p>
        </w:tc>
        <w:tc>
          <w:tcPr>
            <w:tcW w:w="464" w:type="pct"/>
          </w:tcPr>
          <w:p w:rsidR="00AA226D" w:rsidRDefault="00AA226D" w:rsidP="00C17B03">
            <w:r>
              <w:t>Rozdz</w:t>
            </w:r>
            <w:r w:rsidR="00D8591D">
              <w:t>.</w:t>
            </w:r>
            <w:r>
              <w:t xml:space="preserve"> </w:t>
            </w:r>
          </w:p>
          <w:p w:rsidR="00AA226D" w:rsidRDefault="00AA226D" w:rsidP="00C17B03">
            <w:r>
              <w:t>10 pkt. 2d</w:t>
            </w:r>
          </w:p>
        </w:tc>
        <w:tc>
          <w:tcPr>
            <w:tcW w:w="617" w:type="pct"/>
          </w:tcPr>
          <w:p w:rsidR="00AA226D" w:rsidRDefault="00AA226D" w:rsidP="00C17B03">
            <w:r>
              <w:t>w zakresie ochrony i kształtowania sieci powiązań przyrodniczych oraz ochrony walorów krajobrazowych:</w:t>
            </w:r>
          </w:p>
          <w:p w:rsidR="00AA226D" w:rsidRDefault="00AA226D" w:rsidP="00C17B03">
            <w:r>
              <w:t>d) dążenie do wyłączenia obszaru korytarzy ekologicznych oraz terenów w odległości 100 m od brzegów jezior i rzek (nie dotyczy terenów zabudowanych) zlokalizowanych w otulinie Parku z wprowadzania nowej zabudowy oraz stosowania ogrodzeń</w:t>
            </w:r>
          </w:p>
        </w:tc>
        <w:tc>
          <w:tcPr>
            <w:tcW w:w="693" w:type="pct"/>
          </w:tcPr>
          <w:p w:rsidR="00AA226D" w:rsidRDefault="00AA226D" w:rsidP="00C17B03">
            <w:r>
              <w:t xml:space="preserve">w zakresie ochrony i kształtowania sieci powiązań przyrodniczych oraz ochrony walorów krajobrazowych: </w:t>
            </w:r>
          </w:p>
          <w:p w:rsidR="00AA226D" w:rsidRDefault="00AA226D" w:rsidP="00C17B03">
            <w:r>
              <w:t>d) dążenie do wyłączenia terenów w odległości 100 m od brzegów jezior i rzek (nie dotyczy terenów zabudowanych) zlokalizowanych w otulinie Parku z wprowadzania nowej zabudowy oraz stosowania ogrodzeń (nie dotyczy prowadzonej gospodarki leśnej oraz budowie obiektów i urządzeń służących celom gospodarki leśnej, ochronie przyrody, ochronie przeciwpożarowej oraz ochronie przeciwpowodziowej).</w:t>
            </w:r>
          </w:p>
        </w:tc>
        <w:tc>
          <w:tcPr>
            <w:tcW w:w="1280" w:type="pct"/>
          </w:tcPr>
          <w:p w:rsidR="00AA226D" w:rsidRDefault="00AA226D" w:rsidP="00C17B03">
            <w:r>
              <w:t xml:space="preserve">Wnosimy o wykreślenie z podpunktu d) wyłączenia obszaru korytarzy ekologicznych. Zgodnie z definicją ustawy z dnia 16 kwietnia 2004 r. o ochronie przyrody korytarz ekologiczny jest obszarem umożliwiającym migrację roślin, zwierząt lub grzybów. Nie powinien być wprowadzony taki zakaz, gdyż korytarz ekologiczny nie jest ustawową formą ochrony przyrody. </w:t>
            </w:r>
          </w:p>
          <w:p w:rsidR="00AA226D" w:rsidRDefault="00AA226D" w:rsidP="00C17B03">
            <w:r>
              <w:t xml:space="preserve">Wnosimy o niewpisywanie zakazów mających na celu ograniczanie prowadzenia gospodarki leśnej oraz podejmowania działań służących celom gospodarki leśnej, ochronie przyrody, ochronie przeciwpożarowej oraz przeciwdziałają powodzi. W Lasach Państwowych realizowane są projekty dotyczące budowy, modernizacji obiektów małej retencji, co przyczynia się do poprawy bilansu wodnego małych zlewni, minimalizuje skutki suszy w ekosystemach leśnych oraz przeciwdziała powodzi. Tym samym wspierane są cele polegające na zachowaniu różnorodności biologicznej obszarów wodno-błotnych oraz </w:t>
            </w:r>
            <w:proofErr w:type="spellStart"/>
            <w:r>
              <w:t>renaturyzacji</w:t>
            </w:r>
            <w:proofErr w:type="spellEnd"/>
            <w:r>
              <w:t xml:space="preserve"> bagien i mokradeł. Podejmowane są działania na rzecz przystosowania do zmian klimatu, w tym odtwarzanie i regulację stosunków wodnych na mokradłach, ochronę obszarów </w:t>
            </w:r>
            <w:proofErr w:type="spellStart"/>
            <w:r>
              <w:t>mokradłowych</w:t>
            </w:r>
            <w:proofErr w:type="spellEnd"/>
            <w:r>
              <w:t xml:space="preserve"> i gatunków z nimi związanych, retencjonowanie wody w ekosystemach wodnych, zahamowanie negatywnych zmian ochronę i przywracanie bioróżnorodności oraz zwiększenie akumulacji CO2. Jednocześnie kluczowym działaniem służącym wszystkim celom jest ochrona przeciwpożarowa całego terenu. Zapis w wcześniejszej wersji prowadzi do utrudnienia dostępu do wody w celach gaśniczych, co zwiększa ryzyko pożarowe dla całego obszaru. Tymczasowe grodzenia chronią młode lasy przed uszkodzeniami spowodowanymi przez zwierzynę leśną, szczególnie wartościowe gatunki liściaste, które staną się w przyszłości częścią różnorodnych drzewostanów. Po osiągnięciu odpowiedniej wielkości młodego lasu, ogrodzenia są usuwane.</w:t>
            </w:r>
          </w:p>
        </w:tc>
        <w:tc>
          <w:tcPr>
            <w:tcW w:w="1323" w:type="pct"/>
          </w:tcPr>
          <w:p w:rsidR="00AA226D" w:rsidRPr="00684DF7" w:rsidRDefault="00AA226D" w:rsidP="00262215">
            <w:pPr>
              <w:rPr>
                <w:b/>
                <w:color w:val="FFC000"/>
              </w:rPr>
            </w:pPr>
            <w:r w:rsidRPr="00684DF7">
              <w:rPr>
                <w:b/>
                <w:color w:val="FFC000"/>
              </w:rPr>
              <w:t>Uwaga uwzględniona częściowo</w:t>
            </w:r>
          </w:p>
          <w:p w:rsidR="00AA226D" w:rsidRPr="00684DF7" w:rsidRDefault="00AA226D" w:rsidP="00281AEA">
            <w:pPr>
              <w:spacing w:before="60" w:line="252" w:lineRule="auto"/>
              <w:rPr>
                <w:color w:val="000000" w:themeColor="text1"/>
              </w:rPr>
            </w:pPr>
            <w:r w:rsidRPr="00684DF7">
              <w:rPr>
                <w:color w:val="000000" w:themeColor="text1"/>
              </w:rPr>
              <w:t>Zapis ust. 2d skorygowano na:</w:t>
            </w:r>
          </w:p>
          <w:p w:rsidR="00AA226D" w:rsidRPr="00684DF7" w:rsidRDefault="00AA226D" w:rsidP="00281AEA">
            <w:pPr>
              <w:spacing w:before="60" w:line="252" w:lineRule="auto"/>
              <w:rPr>
                <w:i/>
                <w:color w:val="000000" w:themeColor="text1"/>
              </w:rPr>
            </w:pPr>
            <w:r w:rsidRPr="00684DF7">
              <w:rPr>
                <w:i/>
                <w:color w:val="000000" w:themeColor="text1"/>
              </w:rPr>
              <w:t xml:space="preserve">dążenie do wyłączenia obszaru korytarzy ekologicznych oraz terenów w odległości 100 m od brzegów jezior i rzek (nie dotyczy terenów zabudowanych) zlokalizowanych w otulinie Parku z wprowadzania nowej zabudowy oraz stosowania ogrodzeń, za wyjątkiem </w:t>
            </w:r>
            <w:r w:rsidRPr="00684DF7">
              <w:rPr>
                <w:i/>
              </w:rPr>
              <w:t>obiektów i urządzeń służących celom gospodarki leśnej, ochronie przyrody, ochronie przeciwpożarowej oraz ochronie przeciwpowodziowej,</w:t>
            </w:r>
          </w:p>
          <w:p w:rsidR="00AA226D" w:rsidRPr="00684DF7" w:rsidRDefault="00AA226D" w:rsidP="00281AEA">
            <w:pPr>
              <w:rPr>
                <w:color w:val="FF0000"/>
              </w:rPr>
            </w:pPr>
            <w:r>
              <w:rPr>
                <w:color w:val="000000" w:themeColor="text1"/>
              </w:rPr>
              <w:t>Należy podkreślić,</w:t>
            </w:r>
            <w:r w:rsidR="00102A12">
              <w:rPr>
                <w:color w:val="000000" w:themeColor="text1"/>
              </w:rPr>
              <w:t xml:space="preserve"> </w:t>
            </w:r>
            <w:r>
              <w:rPr>
                <w:color w:val="000000" w:themeColor="text1"/>
              </w:rPr>
              <w:t>że Plan ochrony nie wprowadza żadnych zakazów, w tym w obrębie korytarzy ekologicznych czy form ochrony przyrody. Cytowany</w:t>
            </w:r>
            <w:r w:rsidR="00102A12">
              <w:rPr>
                <w:color w:val="000000" w:themeColor="text1"/>
              </w:rPr>
              <w:t xml:space="preserve"> </w:t>
            </w:r>
            <w:r>
              <w:rPr>
                <w:color w:val="000000" w:themeColor="text1"/>
              </w:rPr>
              <w:t>zapis rozpoczyna zwrot; „dążenie do” a więc nie należy go także traktować jako bezwzględnego ustalenia planistycznego. Korytarze ekologiczne rzeczywiście nie są formą ochrony przyrody, ale są łatwo identyfikowalne na podstawie zapisów planu zagospodarowania przestrzennego,</w:t>
            </w:r>
            <w:r w:rsidR="00102A12">
              <w:rPr>
                <w:color w:val="000000" w:themeColor="text1"/>
              </w:rPr>
              <w:t xml:space="preserve"> </w:t>
            </w:r>
            <w:r>
              <w:rPr>
                <w:color w:val="000000" w:themeColor="text1"/>
              </w:rPr>
              <w:t xml:space="preserve">opracowania </w:t>
            </w:r>
            <w:proofErr w:type="spellStart"/>
            <w:r>
              <w:rPr>
                <w:color w:val="000000" w:themeColor="text1"/>
              </w:rPr>
              <w:t>ekofizjograficznego</w:t>
            </w:r>
            <w:proofErr w:type="spellEnd"/>
            <w:r>
              <w:rPr>
                <w:color w:val="000000" w:themeColor="text1"/>
              </w:rPr>
              <w:t xml:space="preserve"> czy studium uwarunkowań i kierunków zagospodarowania przestrzennego. Dopisany na wniosek RDLP zapis uwzględnia przywołane potrzeby związane z gospodarką leśną czy wodną </w:t>
            </w:r>
          </w:p>
        </w:tc>
      </w:tr>
      <w:tr w:rsidR="00281AEA" w:rsidRPr="00A0495B" w:rsidTr="002616E2">
        <w:trPr>
          <w:trHeight w:val="20"/>
        </w:trPr>
        <w:tc>
          <w:tcPr>
            <w:tcW w:w="159" w:type="pct"/>
          </w:tcPr>
          <w:p w:rsidR="00281AEA" w:rsidRPr="00A0495B" w:rsidRDefault="00281AEA" w:rsidP="00102A12">
            <w:pPr>
              <w:pStyle w:val="Akapitzlist"/>
              <w:numPr>
                <w:ilvl w:val="0"/>
                <w:numId w:val="5"/>
              </w:numPr>
              <w:ind w:left="57" w:firstLine="0"/>
            </w:pPr>
          </w:p>
        </w:tc>
        <w:tc>
          <w:tcPr>
            <w:tcW w:w="463" w:type="pct"/>
          </w:tcPr>
          <w:p w:rsidR="00281AEA" w:rsidRDefault="00281AEA" w:rsidP="00262215">
            <w:r w:rsidRPr="00281AEA">
              <w:t>Nadleśnictwo Bogdaniec</w:t>
            </w:r>
          </w:p>
        </w:tc>
        <w:tc>
          <w:tcPr>
            <w:tcW w:w="464" w:type="pct"/>
          </w:tcPr>
          <w:p w:rsidR="00281AEA" w:rsidRDefault="00281AEA" w:rsidP="00281AEA">
            <w:r>
              <w:t>Rozdział 10 pkt. 2d</w:t>
            </w:r>
          </w:p>
        </w:tc>
        <w:tc>
          <w:tcPr>
            <w:tcW w:w="617" w:type="pct"/>
          </w:tcPr>
          <w:p w:rsidR="00281AEA" w:rsidRDefault="00281AEA" w:rsidP="00281AEA">
            <w:r>
              <w:t xml:space="preserve">Dążenie do wyłączenia obszaru korytarzy ekologicznych oraz terenów w odległości 100 m od brzegów jezior i rzek (nie dotyczy terenów zabudowanych) zlokalizowanych w otulinie Parku z wprowadzania nowej zabudowy oraz stosowania ogrodzeń. </w:t>
            </w:r>
          </w:p>
        </w:tc>
        <w:tc>
          <w:tcPr>
            <w:tcW w:w="693" w:type="pct"/>
          </w:tcPr>
          <w:p w:rsidR="00281AEA" w:rsidRDefault="00281AEA" w:rsidP="00281AEA">
            <w:r>
              <w:t>Dążenie do wyłączenia obszaru korytarzy ekologicznych oraz terenów w odległości 100 m od brzegów jezior i rzek (nie dotyczy terenów zabudowanych) zlokalizowanych w otulinie Parku z wprowadzania nowej zabudowy oraz stosowania ogrodzeń (z wyłączeniem grodzeń leśnych tymczasowo zabezpieczających uprawy leśne przed zwierzyną)</w:t>
            </w:r>
          </w:p>
        </w:tc>
        <w:tc>
          <w:tcPr>
            <w:tcW w:w="1280" w:type="pct"/>
          </w:tcPr>
          <w:p w:rsidR="00281AEA" w:rsidRDefault="00281AEA" w:rsidP="00281AEA">
            <w:r>
              <w:t>Grodzenia leśne tymczasowo zabezpieczają uprawy leśne przed presją jeleniowatych. Po wyprowadzeniu uprawy grodzenia są demontowane.</w:t>
            </w:r>
          </w:p>
        </w:tc>
        <w:tc>
          <w:tcPr>
            <w:tcW w:w="1323" w:type="pct"/>
          </w:tcPr>
          <w:p w:rsidR="003572EE" w:rsidRPr="003572EE" w:rsidRDefault="003572EE" w:rsidP="003572EE">
            <w:pPr>
              <w:rPr>
                <w:b/>
                <w:color w:val="00B050"/>
              </w:rPr>
            </w:pPr>
            <w:r w:rsidRPr="003572EE">
              <w:rPr>
                <w:b/>
                <w:color w:val="00B050"/>
              </w:rPr>
              <w:t xml:space="preserve">Uwaga uwzględniona </w:t>
            </w:r>
          </w:p>
          <w:p w:rsidR="003572EE" w:rsidRPr="00684DF7" w:rsidRDefault="003572EE" w:rsidP="003572EE">
            <w:pPr>
              <w:spacing w:before="60" w:line="252" w:lineRule="auto"/>
              <w:rPr>
                <w:color w:val="000000" w:themeColor="text1"/>
              </w:rPr>
            </w:pPr>
            <w:r w:rsidRPr="00684DF7">
              <w:rPr>
                <w:color w:val="000000" w:themeColor="text1"/>
              </w:rPr>
              <w:t>Zapis ust. 2d skorygowano na:</w:t>
            </w:r>
          </w:p>
          <w:p w:rsidR="00281AEA" w:rsidRPr="00262215" w:rsidRDefault="003572EE" w:rsidP="003572EE">
            <w:pPr>
              <w:spacing w:before="60" w:line="252" w:lineRule="auto"/>
              <w:rPr>
                <w:b/>
                <w:color w:val="FF0000"/>
              </w:rPr>
            </w:pPr>
            <w:r w:rsidRPr="00684DF7">
              <w:rPr>
                <w:i/>
                <w:color w:val="000000" w:themeColor="text1"/>
              </w:rPr>
              <w:t xml:space="preserve">dążenie do wyłączenia obszaru korytarzy ekologicznych oraz terenów w odległości 100 m od brzegów jezior i rzek (nie dotyczy terenów zabudowanych) zlokalizowanych w otulinie Parku z wprowadzania nowej zabudowy oraz stosowania ogrodzeń, za wyjątkiem </w:t>
            </w:r>
            <w:r w:rsidRPr="00684DF7">
              <w:rPr>
                <w:i/>
              </w:rPr>
              <w:t>obiektów i urządzeń służących celom gospodarki leśnej, ochronie przyrody, ochronie przeciwpożarowej oraz ochronie przeciwpowodziowej,</w:t>
            </w:r>
          </w:p>
        </w:tc>
      </w:tr>
      <w:tr w:rsidR="00102A12" w:rsidRPr="00A0495B" w:rsidTr="002616E2">
        <w:trPr>
          <w:trHeight w:val="20"/>
        </w:trPr>
        <w:tc>
          <w:tcPr>
            <w:tcW w:w="159" w:type="pct"/>
          </w:tcPr>
          <w:p w:rsidR="00102A12" w:rsidRPr="00A0495B" w:rsidRDefault="00102A12" w:rsidP="00102A12">
            <w:pPr>
              <w:pStyle w:val="Akapitzlist"/>
              <w:numPr>
                <w:ilvl w:val="0"/>
                <w:numId w:val="5"/>
              </w:numPr>
              <w:ind w:left="57" w:firstLine="0"/>
            </w:pPr>
          </w:p>
        </w:tc>
        <w:tc>
          <w:tcPr>
            <w:tcW w:w="463" w:type="pct"/>
          </w:tcPr>
          <w:p w:rsidR="00102A12" w:rsidRDefault="00102A12" w:rsidP="00262215">
            <w:r>
              <w:t>Gmina Górzyca</w:t>
            </w:r>
          </w:p>
        </w:tc>
        <w:tc>
          <w:tcPr>
            <w:tcW w:w="464" w:type="pct"/>
          </w:tcPr>
          <w:p w:rsidR="00102A12" w:rsidRDefault="00102A12" w:rsidP="002B4445">
            <w:r>
              <w:t xml:space="preserve">Rozdz. 12 pkt. 4.b </w:t>
            </w:r>
          </w:p>
        </w:tc>
        <w:tc>
          <w:tcPr>
            <w:tcW w:w="617" w:type="pct"/>
          </w:tcPr>
          <w:p w:rsidR="00102A12" w:rsidRDefault="00102A12" w:rsidP="00102A12">
            <w:r w:rsidRPr="00AF0A60">
              <w:t>część działki 8/1</w:t>
            </w:r>
            <w:r>
              <w:t>3</w:t>
            </w:r>
            <w:r w:rsidRPr="00AF0A60">
              <w:t xml:space="preserve"> w gminie Górzyca, na której zlokalizowany jest parking przy Dyrekcji Parku,</w:t>
            </w:r>
          </w:p>
        </w:tc>
        <w:tc>
          <w:tcPr>
            <w:tcW w:w="693" w:type="pct"/>
          </w:tcPr>
          <w:p w:rsidR="00102A12" w:rsidRDefault="00102A12" w:rsidP="004D1526">
            <w:r w:rsidRPr="00AF0A60">
              <w:t>część działki 8/1</w:t>
            </w:r>
            <w:r>
              <w:t>4</w:t>
            </w:r>
            <w:r w:rsidRPr="00AF0A60">
              <w:t xml:space="preserve"> w gminie Górzyca, na której zlokalizowany jest parking przy Dyrekcji Parku,</w:t>
            </w:r>
          </w:p>
        </w:tc>
        <w:tc>
          <w:tcPr>
            <w:tcW w:w="1280" w:type="pct"/>
          </w:tcPr>
          <w:p w:rsidR="00102A12" w:rsidRDefault="00102A12" w:rsidP="002B4445">
            <w:r>
              <w:t>Zmiana nr działki na 8/14</w:t>
            </w:r>
          </w:p>
        </w:tc>
        <w:tc>
          <w:tcPr>
            <w:tcW w:w="1323" w:type="pct"/>
          </w:tcPr>
          <w:p w:rsidR="00102A12" w:rsidRPr="003572EE" w:rsidRDefault="00102A12" w:rsidP="00102A12">
            <w:pPr>
              <w:rPr>
                <w:b/>
                <w:color w:val="00B050"/>
              </w:rPr>
            </w:pPr>
            <w:r w:rsidRPr="003572EE">
              <w:rPr>
                <w:b/>
                <w:color w:val="00B050"/>
              </w:rPr>
              <w:t xml:space="preserve">Uwaga uwzględniona </w:t>
            </w:r>
          </w:p>
          <w:p w:rsidR="00102A12" w:rsidRPr="00262215" w:rsidRDefault="00102A12" w:rsidP="00102A12">
            <w:r>
              <w:t>Numerację poprawiono</w:t>
            </w:r>
          </w:p>
        </w:tc>
      </w:tr>
      <w:tr w:rsidR="00CE335A" w:rsidRPr="00A0495B" w:rsidTr="002616E2">
        <w:trPr>
          <w:trHeight w:val="20"/>
        </w:trPr>
        <w:tc>
          <w:tcPr>
            <w:tcW w:w="159" w:type="pct"/>
          </w:tcPr>
          <w:p w:rsidR="00CE335A" w:rsidRPr="00A0495B" w:rsidRDefault="00CE335A" w:rsidP="00102A12">
            <w:pPr>
              <w:pStyle w:val="Akapitzlist"/>
              <w:numPr>
                <w:ilvl w:val="0"/>
                <w:numId w:val="5"/>
              </w:numPr>
              <w:ind w:left="57" w:firstLine="0"/>
            </w:pPr>
          </w:p>
        </w:tc>
        <w:tc>
          <w:tcPr>
            <w:tcW w:w="463" w:type="pct"/>
          </w:tcPr>
          <w:p w:rsidR="00CE335A" w:rsidRDefault="00CE335A" w:rsidP="00262215">
            <w:r>
              <w:t>Gmina Górzyca</w:t>
            </w:r>
          </w:p>
        </w:tc>
        <w:tc>
          <w:tcPr>
            <w:tcW w:w="464" w:type="pct"/>
          </w:tcPr>
          <w:p w:rsidR="00CE335A" w:rsidRDefault="002616E2" w:rsidP="002B4445">
            <w:r>
              <w:t>Rozdz. 12 pkt. 2 i</w:t>
            </w:r>
          </w:p>
        </w:tc>
        <w:tc>
          <w:tcPr>
            <w:tcW w:w="617" w:type="pct"/>
          </w:tcPr>
          <w:p w:rsidR="00CE335A" w:rsidRPr="00AF0A60" w:rsidRDefault="002616E2" w:rsidP="00102A12">
            <w:r>
              <w:t xml:space="preserve">odstąpienia od lokalizacji w otulinie Parku farm fotowoltaicznych </w:t>
            </w:r>
          </w:p>
        </w:tc>
        <w:tc>
          <w:tcPr>
            <w:tcW w:w="693" w:type="pct"/>
          </w:tcPr>
          <w:p w:rsidR="00CE335A" w:rsidRPr="00AF0A60" w:rsidRDefault="00CE335A" w:rsidP="004D1526"/>
        </w:tc>
        <w:tc>
          <w:tcPr>
            <w:tcW w:w="1280" w:type="pct"/>
          </w:tcPr>
          <w:p w:rsidR="00CE335A" w:rsidRDefault="00CE335A" w:rsidP="002B4445"/>
        </w:tc>
        <w:tc>
          <w:tcPr>
            <w:tcW w:w="1323" w:type="pct"/>
          </w:tcPr>
          <w:p w:rsidR="002616E2" w:rsidRPr="003572EE" w:rsidRDefault="002616E2" w:rsidP="002616E2">
            <w:pPr>
              <w:rPr>
                <w:b/>
                <w:color w:val="00B050"/>
              </w:rPr>
            </w:pPr>
            <w:r w:rsidRPr="003572EE">
              <w:rPr>
                <w:b/>
                <w:color w:val="00B050"/>
              </w:rPr>
              <w:t xml:space="preserve">Uwaga uwzględniona </w:t>
            </w:r>
          </w:p>
          <w:p w:rsidR="002616E2" w:rsidRDefault="002616E2" w:rsidP="002616E2">
            <w:r>
              <w:t>Zapis pkt 2 i skorygowano na:</w:t>
            </w:r>
          </w:p>
          <w:p w:rsidR="00CE335A" w:rsidRPr="003572EE" w:rsidRDefault="002616E2" w:rsidP="002616E2">
            <w:pPr>
              <w:spacing w:before="60"/>
            </w:pPr>
            <w:r w:rsidRPr="002616E2">
              <w:rPr>
                <w:i/>
                <w:color w:val="000000" w:themeColor="text1"/>
                <w:szCs w:val="20"/>
              </w:rPr>
              <w:t>uwzględnienie odziaływania planowanych przedsięwzięć, w tym elektrowni wiatrowych, farm fotowoltaicznych (innych niż instalacje przydomowe) oraz napowietrznych linii energetycznych, lokalizowanych poza granicami Parku, na przedmioty jego ochrony, w szczególności na korytarze migracyjne zwierząt</w:t>
            </w:r>
            <w:r>
              <w:t xml:space="preserve"> </w:t>
            </w:r>
          </w:p>
        </w:tc>
      </w:tr>
      <w:tr w:rsidR="00AA226D" w:rsidRPr="00A0495B" w:rsidTr="002616E2">
        <w:trPr>
          <w:trHeight w:val="20"/>
        </w:trPr>
        <w:tc>
          <w:tcPr>
            <w:tcW w:w="159" w:type="pct"/>
          </w:tcPr>
          <w:p w:rsidR="00AA226D" w:rsidRPr="00A0495B" w:rsidRDefault="00AA226D" w:rsidP="00102A12">
            <w:pPr>
              <w:pStyle w:val="Akapitzlist"/>
              <w:numPr>
                <w:ilvl w:val="0"/>
                <w:numId w:val="5"/>
              </w:numPr>
              <w:ind w:left="57" w:firstLine="0"/>
            </w:pPr>
          </w:p>
        </w:tc>
        <w:tc>
          <w:tcPr>
            <w:tcW w:w="463" w:type="pct"/>
          </w:tcPr>
          <w:p w:rsidR="00AA226D" w:rsidRPr="00A0495B" w:rsidRDefault="00AA226D" w:rsidP="00262215">
            <w:r>
              <w:t>Koło Łowieckie „Łyska” (Słońsk)</w:t>
            </w:r>
          </w:p>
        </w:tc>
        <w:tc>
          <w:tcPr>
            <w:tcW w:w="464" w:type="pct"/>
          </w:tcPr>
          <w:p w:rsidR="00AA226D" w:rsidRPr="00A0495B" w:rsidRDefault="00AA226D" w:rsidP="00D8591D">
            <w:r>
              <w:t>Rozdz. 4  pkt 3.5</w:t>
            </w:r>
            <w:r w:rsidR="00102A12">
              <w:t xml:space="preserve"> </w:t>
            </w:r>
          </w:p>
        </w:tc>
        <w:tc>
          <w:tcPr>
            <w:tcW w:w="617" w:type="pct"/>
          </w:tcPr>
          <w:p w:rsidR="00AA226D" w:rsidRDefault="00AA226D" w:rsidP="00262215">
            <w:r>
              <w:t>Zagrożenie:</w:t>
            </w:r>
          </w:p>
          <w:p w:rsidR="00AA226D" w:rsidRDefault="00AA226D" w:rsidP="00262215">
            <w:r w:rsidRPr="002B4445">
              <w:t>Gospodarka łowiecka w otoczeniu Parku, wpływająca na kształtowanie się populacji ptaków chronionych na terenie Parku, w tym organizacja polowań przy granicy Parku na ptaki wylatujące z jego obszaru, ograniczająca możliwość funkcjonowania Parku jako bezpiecznego miejsca okresowego przebywania ptaków (noclegowiska, żerowiska)</w:t>
            </w:r>
          </w:p>
          <w:p w:rsidR="00AA226D" w:rsidRDefault="00AA226D" w:rsidP="00262215">
            <w:r>
              <w:t>Sposoby minimalizacji:</w:t>
            </w:r>
          </w:p>
          <w:p w:rsidR="00AA226D" w:rsidRPr="002B4445" w:rsidRDefault="00AA226D" w:rsidP="00262215">
            <w:pPr>
              <w:pStyle w:val="Tekstpodstawowy"/>
              <w:numPr>
                <w:ilvl w:val="0"/>
                <w:numId w:val="2"/>
              </w:numPr>
              <w:spacing w:after="0"/>
            </w:pPr>
            <w:r w:rsidRPr="002B4445">
              <w:t>Tworzenie i zatwierdzanie wieloletnich planów łowiecko-hodowlanych i rocznych planów łowieckich dla terenów sąsiadujących z Parkiem, uwzględniających potrzebę ochrony ptaków.</w:t>
            </w:r>
          </w:p>
          <w:p w:rsidR="00AA226D" w:rsidRPr="002B4445" w:rsidRDefault="00AA226D" w:rsidP="00262215">
            <w:pPr>
              <w:pStyle w:val="Akapitzlist"/>
              <w:numPr>
                <w:ilvl w:val="0"/>
                <w:numId w:val="2"/>
              </w:numPr>
              <w:contextualSpacing w:val="0"/>
              <w:rPr>
                <w:rStyle w:val="ui-provider"/>
                <w:rFonts w:cs="Times New Roman"/>
                <w:color w:val="000000" w:themeColor="text1"/>
              </w:rPr>
            </w:pPr>
            <w:r w:rsidRPr="002B4445">
              <w:rPr>
                <w:rStyle w:val="ui-provider"/>
                <w:rFonts w:eastAsia="SimSun" w:cs="Times New Roman"/>
                <w:color w:val="000000" w:themeColor="text1"/>
              </w:rPr>
              <w:t>Realizacja polowań w sąsiedztwie Parku w sposób zapewniający spokój chronionym gatunkom ptaków korzystającym z noclegowisk i miejsc odpoczynku podczas migracji.</w:t>
            </w:r>
          </w:p>
          <w:p w:rsidR="00AA226D" w:rsidRPr="002B4445" w:rsidRDefault="00AA226D" w:rsidP="00262215">
            <w:pPr>
              <w:pStyle w:val="Akapitzlist"/>
              <w:numPr>
                <w:ilvl w:val="0"/>
                <w:numId w:val="2"/>
              </w:numPr>
              <w:contextualSpacing w:val="0"/>
            </w:pPr>
            <w:r w:rsidRPr="002B4445">
              <w:t xml:space="preserve">Przestrzeganie przepisów </w:t>
            </w:r>
            <w:r w:rsidRPr="002B4445">
              <w:rPr>
                <w:rStyle w:val="ui-provider"/>
                <w:rFonts w:eastAsia="SimSun" w:cs="Times New Roman"/>
                <w:color w:val="000000" w:themeColor="text1"/>
              </w:rPr>
              <w:t>dotyczących granic obszarów wyłączonych z polowań (Park, strefa ochrony zwierzyny łownej) w szczególności w stosunku do polowań zewnętrznych.</w:t>
            </w:r>
          </w:p>
          <w:p w:rsidR="00AA226D" w:rsidRPr="002B4445" w:rsidRDefault="00AA226D" w:rsidP="00262215">
            <w:pPr>
              <w:pStyle w:val="Akapitzlist"/>
              <w:numPr>
                <w:ilvl w:val="0"/>
                <w:numId w:val="2"/>
              </w:numPr>
              <w:contextualSpacing w:val="0"/>
            </w:pPr>
            <w:r w:rsidRPr="002B4445">
              <w:t>Wzrost świadomości myśliwych w zakresie obowiązku stosowania amunicji bezołowiowej na obszarach wodno-błotnych</w:t>
            </w:r>
          </w:p>
        </w:tc>
        <w:tc>
          <w:tcPr>
            <w:tcW w:w="693" w:type="pct"/>
          </w:tcPr>
          <w:p w:rsidR="00AA226D" w:rsidRPr="00A0495B" w:rsidRDefault="00AA226D" w:rsidP="002B4445">
            <w:r>
              <w:t xml:space="preserve">Usunięcie pkt. 3.5 </w:t>
            </w:r>
          </w:p>
        </w:tc>
        <w:tc>
          <w:tcPr>
            <w:tcW w:w="1280" w:type="pct"/>
          </w:tcPr>
          <w:p w:rsidR="00AA226D" w:rsidRDefault="00AA226D" w:rsidP="002B4445">
            <w:r>
              <w:t>Zarząd Koła w</w:t>
            </w:r>
            <w:r w:rsidRPr="002B4445">
              <w:t xml:space="preserve">yraża stanowczy sprzeciw </w:t>
            </w:r>
            <w:r>
              <w:t xml:space="preserve">wobec </w:t>
            </w:r>
            <w:r w:rsidRPr="002B4445">
              <w:t>traktowania działalności łowieckiej jako zagrożeni</w:t>
            </w:r>
            <w:r>
              <w:t>a</w:t>
            </w:r>
            <w:r w:rsidRPr="002B4445">
              <w:t xml:space="preserve"> wpływające</w:t>
            </w:r>
            <w:r>
              <w:t>go</w:t>
            </w:r>
            <w:r w:rsidRPr="002B4445">
              <w:t xml:space="preserve"> na kształtowanie się populacji ptaków</w:t>
            </w:r>
            <w:r>
              <w:t>.</w:t>
            </w:r>
            <w:r w:rsidRPr="002B4445">
              <w:t xml:space="preserve"> </w:t>
            </w:r>
            <w:r>
              <w:t>U</w:t>
            </w:r>
            <w:r w:rsidRPr="002B4445">
              <w:t xml:space="preserve">ważamy że tego rodzaju zapis niepotwierdzony żadnymi wiarygodnymi badaniami </w:t>
            </w:r>
            <w:r>
              <w:t>(</w:t>
            </w:r>
            <w:r w:rsidRPr="002B4445">
              <w:t>dowodami</w:t>
            </w:r>
            <w:r>
              <w:t>)</w:t>
            </w:r>
            <w:r w:rsidRPr="002B4445">
              <w:t xml:space="preserve"> nie powin</w:t>
            </w:r>
            <w:r>
              <w:t xml:space="preserve">ien </w:t>
            </w:r>
            <w:r w:rsidRPr="002B4445">
              <w:t>mieć miejsca</w:t>
            </w:r>
            <w:r>
              <w:t>.</w:t>
            </w:r>
            <w:r w:rsidRPr="002B4445">
              <w:t xml:space="preserve"> </w:t>
            </w:r>
            <w:r>
              <w:t>N</w:t>
            </w:r>
            <w:r w:rsidRPr="002B4445">
              <w:t>atomiast systematyczna eliminacja poprzez polowanie szopa pracza</w:t>
            </w:r>
            <w:r>
              <w:t>,</w:t>
            </w:r>
            <w:r w:rsidRPr="002B4445">
              <w:t xml:space="preserve"> </w:t>
            </w:r>
            <w:r>
              <w:t>l</w:t>
            </w:r>
            <w:r w:rsidRPr="002B4445">
              <w:t>isa</w:t>
            </w:r>
            <w:r>
              <w:t>,</w:t>
            </w:r>
            <w:r w:rsidRPr="002B4445">
              <w:t xml:space="preserve"> jenota</w:t>
            </w:r>
            <w:r>
              <w:t>,</w:t>
            </w:r>
            <w:r w:rsidRPr="002B4445">
              <w:t xml:space="preserve"> norki amerykańskiej i dzika w znacznym stopniu przyczynia się do ochrony ptaków </w:t>
            </w:r>
            <w:r>
              <w:t xml:space="preserve">- </w:t>
            </w:r>
            <w:r w:rsidRPr="002B4445">
              <w:t>osobników dorosłych jak również lę</w:t>
            </w:r>
            <w:r>
              <w:t>gów. O</w:t>
            </w:r>
            <w:r w:rsidRPr="002B4445">
              <w:t xml:space="preserve">dnosząc się w punkcie </w:t>
            </w:r>
            <w:r>
              <w:t>5</w:t>
            </w:r>
            <w:r w:rsidRPr="002B4445">
              <w:t xml:space="preserve"> do sposobów eliminacji lub ograniczenia zagrożeń uważamy je za bezpodstawne i nie mające żadnego uzasadnienia</w:t>
            </w:r>
            <w:r>
              <w:t>.</w:t>
            </w:r>
            <w:r w:rsidRPr="002B4445">
              <w:t xml:space="preserve"> </w:t>
            </w:r>
          </w:p>
          <w:p w:rsidR="00AA226D" w:rsidRDefault="00AA226D" w:rsidP="002B4445">
            <w:r>
              <w:t xml:space="preserve">Ad1 - </w:t>
            </w:r>
            <w:r w:rsidRPr="002B4445">
              <w:t>zgodnie z prawem łowieckim sporządzanie i zatwierdzenie planów łowieckich nakłada na dzierżawców obwodów graniczących z parkami narodowymi obowiązek uzyskania opinii dyrektorów tych parków</w:t>
            </w:r>
            <w:r>
              <w:t>.</w:t>
            </w:r>
          </w:p>
          <w:p w:rsidR="00AA226D" w:rsidRDefault="00AA226D" w:rsidP="002B4445">
            <w:r>
              <w:t xml:space="preserve">Ad </w:t>
            </w:r>
            <w:r w:rsidRPr="002B4445">
              <w:t xml:space="preserve">2 i 3 </w:t>
            </w:r>
            <w:r>
              <w:t xml:space="preserve">- </w:t>
            </w:r>
            <w:r w:rsidRPr="002B4445">
              <w:t>jako członkowie koła realizujemy gospodarkę łowiecką tylko na terenie dzierżawionego obwodu nr 50</w:t>
            </w:r>
            <w:r>
              <w:t>,</w:t>
            </w:r>
            <w:r w:rsidRPr="002B4445">
              <w:t xml:space="preserve"> dlatego nie zrozumiały jest zapis przestrzegania granic obszarów wyłączonych z polowań</w:t>
            </w:r>
            <w:r>
              <w:t>.</w:t>
            </w:r>
            <w:r w:rsidRPr="002B4445">
              <w:t xml:space="preserve"> </w:t>
            </w:r>
            <w:r>
              <w:t>O</w:t>
            </w:r>
            <w:r w:rsidRPr="002B4445">
              <w:t xml:space="preserve">dnosząc się do polowań w sąsiedztwie </w:t>
            </w:r>
            <w:r>
              <w:t>P</w:t>
            </w:r>
            <w:r w:rsidRPr="002B4445">
              <w:t>arku z naszego punktu widzenia są koniecznością</w:t>
            </w:r>
            <w:r>
              <w:t>,</w:t>
            </w:r>
            <w:r w:rsidRPr="002B4445">
              <w:t xml:space="preserve"> czego twórcy tego zapisu nie zauważają</w:t>
            </w:r>
            <w:r>
              <w:t>.</w:t>
            </w:r>
            <w:r w:rsidRPr="002B4445">
              <w:t xml:space="preserve"> </w:t>
            </w:r>
            <w:r>
              <w:t>P</w:t>
            </w:r>
            <w:r w:rsidRPr="002B4445">
              <w:t xml:space="preserve">rzy granicy strefy ochronnej i </w:t>
            </w:r>
            <w:r>
              <w:t>P</w:t>
            </w:r>
            <w:r w:rsidRPr="002B4445">
              <w:t>arku znajdują się duże uprawy zbóż i kukurydzy</w:t>
            </w:r>
            <w:r>
              <w:t>,</w:t>
            </w:r>
            <w:r w:rsidRPr="002B4445">
              <w:t xml:space="preserve"> gdzie zwierzęta między innymi pochodzące z ostoi dziennych znajdujących się na terenie </w:t>
            </w:r>
            <w:r>
              <w:t>P</w:t>
            </w:r>
            <w:r w:rsidRPr="002B4445">
              <w:t>arku wyrządza</w:t>
            </w:r>
            <w:r>
              <w:t>ją</w:t>
            </w:r>
            <w:r w:rsidRPr="002B4445">
              <w:t xml:space="preserve"> znaczące szkody liczone w dziesiątkach tysięcy złotych</w:t>
            </w:r>
            <w:r>
              <w:t>.</w:t>
            </w:r>
            <w:r w:rsidRPr="002B4445">
              <w:t xml:space="preserve"> </w:t>
            </w:r>
            <w:r>
              <w:t>O</w:t>
            </w:r>
            <w:r w:rsidRPr="002B4445">
              <w:t>graniczanie szkód wiąże się z polowaniami</w:t>
            </w:r>
            <w:r>
              <w:t>.</w:t>
            </w:r>
          </w:p>
          <w:p w:rsidR="00AA226D" w:rsidRPr="002B4445" w:rsidRDefault="00AA226D" w:rsidP="00262215">
            <w:r>
              <w:t xml:space="preserve">Ad 4 </w:t>
            </w:r>
            <w:r w:rsidRPr="002B4445">
              <w:t>zapewniamy</w:t>
            </w:r>
            <w:r>
              <w:t>,</w:t>
            </w:r>
            <w:r w:rsidRPr="002B4445">
              <w:t xml:space="preserve"> że myśliwi t</w:t>
            </w:r>
            <w:r>
              <w:t>o</w:t>
            </w:r>
            <w:r w:rsidRPr="002B4445">
              <w:t xml:space="preserve"> ludzie świadomi i mają wiedzy o wejściu w życie rozporządzenia dotyczącego stosowania amunicji śrutowej stalowej na terenach wodno-błotnych</w:t>
            </w:r>
            <w:r>
              <w:t>.</w:t>
            </w:r>
            <w:r w:rsidRPr="002B4445">
              <w:t xml:space="preserve"> </w:t>
            </w:r>
            <w:r>
              <w:t>P</w:t>
            </w:r>
            <w:r w:rsidRPr="002B4445">
              <w:t>osiadamy system informacyjny PZ</w:t>
            </w:r>
            <w:r>
              <w:t xml:space="preserve">Ł, </w:t>
            </w:r>
            <w:r w:rsidRPr="002B4445">
              <w:t>prasę</w:t>
            </w:r>
            <w:r>
              <w:t>,</w:t>
            </w:r>
            <w:r w:rsidRPr="002B4445">
              <w:t xml:space="preserve"> dostęp do </w:t>
            </w:r>
            <w:proofErr w:type="spellStart"/>
            <w:r w:rsidRPr="002B4445">
              <w:t>internetu</w:t>
            </w:r>
            <w:proofErr w:type="spellEnd"/>
            <w:r>
              <w:t>.</w:t>
            </w:r>
            <w:r w:rsidRPr="002B4445">
              <w:t xml:space="preserve"> </w:t>
            </w:r>
            <w:r>
              <w:t>U</w:t>
            </w:r>
            <w:r w:rsidRPr="002B4445">
              <w:t>ważamy</w:t>
            </w:r>
            <w:r>
              <w:t>,</w:t>
            </w:r>
            <w:r w:rsidRPr="002B4445">
              <w:t xml:space="preserve"> że na gospodarkę łowiecką należy spojrzeć w szerszym zakresie</w:t>
            </w:r>
            <w:r>
              <w:t>,</w:t>
            </w:r>
            <w:r w:rsidRPr="002B4445">
              <w:t xml:space="preserve"> dlatego też p</w:t>
            </w:r>
            <w:r>
              <w:t xml:space="preserve">kt 5 </w:t>
            </w:r>
            <w:r w:rsidRPr="002B4445">
              <w:t xml:space="preserve">w naszej ocenie nie powinien znaleźć się w zapisie projektu </w:t>
            </w:r>
            <w:r>
              <w:t>P</w:t>
            </w:r>
            <w:r w:rsidRPr="002B4445">
              <w:t>lan</w:t>
            </w:r>
            <w:r>
              <w:t>u</w:t>
            </w:r>
            <w:r w:rsidRPr="002B4445">
              <w:t xml:space="preserve"> ochrony</w:t>
            </w:r>
          </w:p>
        </w:tc>
        <w:tc>
          <w:tcPr>
            <w:tcW w:w="1323" w:type="pct"/>
          </w:tcPr>
          <w:p w:rsidR="00AA226D" w:rsidRPr="00262215" w:rsidRDefault="00AA226D" w:rsidP="00262215">
            <w:pPr>
              <w:rPr>
                <w:b/>
                <w:color w:val="FF0000"/>
              </w:rPr>
            </w:pPr>
            <w:r w:rsidRPr="00262215">
              <w:rPr>
                <w:b/>
                <w:color w:val="FF0000"/>
              </w:rPr>
              <w:t>Uwaga nieuwzględniona</w:t>
            </w:r>
          </w:p>
          <w:p w:rsidR="00AA226D" w:rsidRDefault="00AA226D" w:rsidP="009A3CC5">
            <w:r>
              <w:t>Szeroka literatura krajowa i międzynarodowa oraz wyniki badań, w tym przywoływane na spotkaniach konsultacyjnych prowadzonych z udziałem myśliwych, wskazują na negatywne oddziaływanie na ptaki polowań prowadzonych zwłaszcza w bezpośredniej bliskości miejsc ich lęgów czy noclegowisk. Autorzy Planu nie kwestionują praw przysługujących myśliwym, a także podkreślają ich pozytywną rolę, np. przy eliminacji gatunków obcych. Podczas wspomnianych spotkań pracownicy Parku przywoływali szereg przykładów zagrożeń i problemów generowanych w ramach działalności łowieckiej.</w:t>
            </w:r>
          </w:p>
          <w:p w:rsidR="00AA226D" w:rsidRDefault="00AA226D" w:rsidP="009A3CC5">
            <w:r>
              <w:t>Odnosząc się do zaproponowanych sposobów minimalizacji zagrożeń Ad 1. – projekt Planu nie wprowadza żadnych nowych rozwiązań, podkreśla natomiast konieczność uwzględniania potrzeb ochrony ptaków w planach łowieckich.</w:t>
            </w:r>
          </w:p>
          <w:p w:rsidR="00AA226D" w:rsidRPr="009A3CC5" w:rsidRDefault="00AA226D" w:rsidP="009A3CC5">
            <w:pPr>
              <w:rPr>
                <w:rStyle w:val="ui-provider"/>
                <w:i/>
                <w:color w:val="000000" w:themeColor="text1"/>
                <w:sz w:val="28"/>
                <w:szCs w:val="24"/>
              </w:rPr>
            </w:pPr>
            <w:r>
              <w:t xml:space="preserve">Ad 2 – projekt Planu nie wprowadza żadnych zakazów odnośnie polowań, ale wskazuje na potrzebę </w:t>
            </w:r>
            <w:r w:rsidRPr="009A3CC5">
              <w:rPr>
                <w:rStyle w:val="ui-provider"/>
                <w:rFonts w:eastAsia="SimSun"/>
                <w:i/>
                <w:color w:val="000000" w:themeColor="text1"/>
              </w:rPr>
              <w:t>wypracowania we współpracy z kołami myśliwskimi i wdrożenie w ramach dobrych praktyk łowieckich zasad polowania na ptaki w poszczególnych obwodach łowieckich graniczących z Parkiem, w tym odsunięcia polowań na dystans zapewniający spokój gatunkom chronionym korzystającym z noclegowisk i miejsc odpoczynku podczas migracji.</w:t>
            </w:r>
          </w:p>
          <w:p w:rsidR="00AA226D" w:rsidRDefault="00AA226D" w:rsidP="009A3CC5">
            <w:r>
              <w:t>Ew. odsunięcie polowań od granic Parku (np. o 50 m) nie blokuje możliwości ochrony przez myśliwych upraw zbóż i kukurydzy.</w:t>
            </w:r>
          </w:p>
          <w:p w:rsidR="00AA226D" w:rsidRDefault="00AA226D" w:rsidP="009A3CC5">
            <w:r>
              <w:t>Ad 3. – zapis jest konsekwencją zdarzających się przypadków prowadzenia polowań na obszarze Parku. W zapisie wyraźnie zaznaczono, że chodzi o polowania zewnętrzne.</w:t>
            </w:r>
          </w:p>
          <w:p w:rsidR="00AA226D" w:rsidRPr="00A0495B" w:rsidRDefault="00AA226D" w:rsidP="009A3CC5">
            <w:r>
              <w:t>Ad 4.</w:t>
            </w:r>
            <w:r w:rsidR="00102A12">
              <w:t xml:space="preserve"> </w:t>
            </w:r>
            <w:r>
              <w:t>– należy pozytywnie ocenić świadomość myśliwych i ich dostęp do obowiązujących przepisów i innych źródeł wiedzy, ale zapis jest konsekwencją zdarzających się przypadków nie przestrzegania zakazów stosowania amunicji ołowiowej na obszarach wodno-błotnych</w:t>
            </w:r>
          </w:p>
        </w:tc>
      </w:tr>
      <w:tr w:rsidR="00102A12" w:rsidRPr="00A0495B" w:rsidTr="002616E2">
        <w:trPr>
          <w:trHeight w:val="20"/>
        </w:trPr>
        <w:tc>
          <w:tcPr>
            <w:tcW w:w="159" w:type="pct"/>
          </w:tcPr>
          <w:p w:rsidR="00102A12" w:rsidRPr="00A0495B" w:rsidRDefault="00102A12" w:rsidP="00102A12">
            <w:pPr>
              <w:pStyle w:val="Akapitzlist"/>
              <w:numPr>
                <w:ilvl w:val="0"/>
                <w:numId w:val="5"/>
              </w:numPr>
              <w:ind w:left="57" w:firstLine="0"/>
            </w:pPr>
          </w:p>
        </w:tc>
        <w:tc>
          <w:tcPr>
            <w:tcW w:w="463" w:type="pct"/>
          </w:tcPr>
          <w:p w:rsidR="00102A12" w:rsidRPr="00A0495B" w:rsidRDefault="00102A12" w:rsidP="00102A12">
            <w:r>
              <w:t xml:space="preserve">Członkowie Rady Naukowej Parku – prof. Tadeusz Stawarczyk i prof. Aleksander </w:t>
            </w:r>
            <w:proofErr w:type="spellStart"/>
            <w:r>
              <w:t>Wniecki</w:t>
            </w:r>
            <w:proofErr w:type="spellEnd"/>
            <w:r>
              <w:t xml:space="preserve"> </w:t>
            </w:r>
          </w:p>
        </w:tc>
        <w:tc>
          <w:tcPr>
            <w:tcW w:w="464" w:type="pct"/>
          </w:tcPr>
          <w:p w:rsidR="00102A12" w:rsidRPr="00A0495B" w:rsidRDefault="00102A12" w:rsidP="00D8591D">
            <w:r>
              <w:t xml:space="preserve">Rozdz. 6 </w:t>
            </w:r>
            <w:r w:rsidR="00D8591D">
              <w:t xml:space="preserve"> </w:t>
            </w:r>
            <w:r>
              <w:t>pkt. 3 wybrane gatunki ptaków</w:t>
            </w:r>
            <w:r w:rsidR="004D7DFF">
              <w:t xml:space="preserve">: </w:t>
            </w:r>
            <w:r w:rsidR="004D7DFF" w:rsidRPr="004D7DFF">
              <w:rPr>
                <w:rFonts w:cs="Times New Roman"/>
                <w:color w:val="000000" w:themeColor="text1"/>
                <w:lang w:eastAsia="ko-KR"/>
              </w:rPr>
              <w:t>Ślepowron</w:t>
            </w:r>
            <w:r w:rsidR="004D7DFF">
              <w:rPr>
                <w:rFonts w:cs="Times New Roman"/>
                <w:color w:val="000000" w:themeColor="text1"/>
                <w:lang w:eastAsia="ko-KR"/>
              </w:rPr>
              <w:t xml:space="preserve">, </w:t>
            </w:r>
            <w:r w:rsidR="004D7DFF" w:rsidRPr="004D7DFF">
              <w:rPr>
                <w:rFonts w:cs="Times New Roman"/>
                <w:color w:val="000000" w:themeColor="text1"/>
              </w:rPr>
              <w:t>Czapla biała</w:t>
            </w:r>
            <w:r w:rsidR="004D7DFF">
              <w:rPr>
                <w:rFonts w:cs="Times New Roman"/>
                <w:color w:val="000000" w:themeColor="text1"/>
              </w:rPr>
              <w:t xml:space="preserve">, </w:t>
            </w:r>
            <w:r w:rsidR="004D7DFF" w:rsidRPr="004D7DFF">
              <w:rPr>
                <w:rFonts w:cs="Times New Roman"/>
                <w:color w:val="000000" w:themeColor="text1"/>
              </w:rPr>
              <w:t>Gęś zbożowa</w:t>
            </w:r>
            <w:r w:rsidR="004D7DFF">
              <w:rPr>
                <w:rFonts w:cs="Times New Roman"/>
                <w:color w:val="000000" w:themeColor="text1"/>
              </w:rPr>
              <w:t xml:space="preserve">, </w:t>
            </w:r>
            <w:r w:rsidR="004D7DFF" w:rsidRPr="004D7DFF">
              <w:rPr>
                <w:rFonts w:cs="Times New Roman"/>
                <w:color w:val="000000" w:themeColor="text1"/>
              </w:rPr>
              <w:t>Głowienka</w:t>
            </w:r>
            <w:r w:rsidR="004D7DFF">
              <w:rPr>
                <w:rFonts w:cs="Times New Roman"/>
                <w:color w:val="000000" w:themeColor="text1"/>
              </w:rPr>
              <w:t xml:space="preserve">, Kulik wielki, </w:t>
            </w:r>
            <w:r w:rsidR="004D7DFF" w:rsidRPr="004D7DFF">
              <w:rPr>
                <w:rFonts w:cs="Times New Roman"/>
                <w:color w:val="000000" w:themeColor="text1"/>
              </w:rPr>
              <w:t>Rybitwa rzeczna</w:t>
            </w:r>
            <w:r w:rsidR="004D7DFF">
              <w:rPr>
                <w:rFonts w:cs="Times New Roman"/>
                <w:color w:val="000000" w:themeColor="text1"/>
              </w:rPr>
              <w:t xml:space="preserve">, </w:t>
            </w:r>
            <w:r w:rsidR="004D7DFF" w:rsidRPr="004D7DFF">
              <w:rPr>
                <w:rFonts w:cs="Times New Roman"/>
                <w:color w:val="000000" w:themeColor="text1"/>
              </w:rPr>
              <w:t>Rybitwa białoczelna</w:t>
            </w:r>
            <w:r w:rsidR="004D7DFF">
              <w:rPr>
                <w:rFonts w:cs="Times New Roman"/>
                <w:color w:val="000000" w:themeColor="text1"/>
              </w:rPr>
              <w:t xml:space="preserve">, </w:t>
            </w:r>
            <w:r w:rsidR="004D7DFF" w:rsidRPr="004D7DFF">
              <w:rPr>
                <w:rFonts w:cs="Times New Roman"/>
                <w:color w:val="000000" w:themeColor="text1"/>
              </w:rPr>
              <w:t>Rybitwa białoskrzydła</w:t>
            </w:r>
            <w:r w:rsidR="004D7DFF">
              <w:rPr>
                <w:rFonts w:cs="Times New Roman"/>
                <w:color w:val="000000" w:themeColor="text1"/>
              </w:rPr>
              <w:t xml:space="preserve">, </w:t>
            </w:r>
            <w:r w:rsidR="004D7DFF" w:rsidRPr="004D7DFF">
              <w:rPr>
                <w:rFonts w:cs="Times New Roman"/>
                <w:color w:val="000000" w:themeColor="text1"/>
              </w:rPr>
              <w:t xml:space="preserve">Jarzębatka </w:t>
            </w:r>
            <w:r>
              <w:t xml:space="preserve"> </w:t>
            </w:r>
          </w:p>
        </w:tc>
        <w:tc>
          <w:tcPr>
            <w:tcW w:w="617" w:type="pct"/>
          </w:tcPr>
          <w:p w:rsidR="00102A12" w:rsidRPr="00A0495B" w:rsidRDefault="00102A12" w:rsidP="002B4445"/>
        </w:tc>
        <w:tc>
          <w:tcPr>
            <w:tcW w:w="693" w:type="pct"/>
          </w:tcPr>
          <w:p w:rsidR="00102A12" w:rsidRPr="00A0495B" w:rsidRDefault="00102A12" w:rsidP="002B4445"/>
        </w:tc>
        <w:tc>
          <w:tcPr>
            <w:tcW w:w="1280" w:type="pct"/>
          </w:tcPr>
          <w:p w:rsidR="00102A12" w:rsidRPr="00A0495B" w:rsidRDefault="00102A12" w:rsidP="004D7DFF">
            <w:r>
              <w:t xml:space="preserve">Należy skorygować (obniżyć) referencyjne stany liczebności (wskaźniki właściwego stanu ochrony) wybranych gatunków ptaków dostosowując je do realnych </w:t>
            </w:r>
            <w:r w:rsidR="004D7DFF">
              <w:t xml:space="preserve">możliwości ich osiągnięcia w okresie obowiązywania Planu ochrony. W wielu przypadkach liczebności „parkowej” populacji ptaków zależeć będą od szeregu uwarunkowań zewnętrznych </w:t>
            </w:r>
          </w:p>
        </w:tc>
        <w:tc>
          <w:tcPr>
            <w:tcW w:w="1323" w:type="pct"/>
          </w:tcPr>
          <w:p w:rsidR="004D7DFF" w:rsidRPr="003572EE" w:rsidRDefault="004D7DFF" w:rsidP="004D7DFF">
            <w:pPr>
              <w:rPr>
                <w:b/>
                <w:color w:val="00B050"/>
              </w:rPr>
            </w:pPr>
            <w:r w:rsidRPr="003572EE">
              <w:rPr>
                <w:b/>
                <w:color w:val="00B050"/>
              </w:rPr>
              <w:t xml:space="preserve">Uwaga uwzględniona </w:t>
            </w:r>
          </w:p>
          <w:p w:rsidR="00102A12" w:rsidRDefault="004D7DFF" w:rsidP="004D7DFF">
            <w:r>
              <w:t>Skorygowano liczebności wskazanych gatunków ptaków</w:t>
            </w:r>
          </w:p>
          <w:p w:rsidR="004D7DFF" w:rsidRDefault="004D7DFF" w:rsidP="004D7DFF">
            <w:r>
              <w:t>Ze względu na trudności z rozróżnieniem gatunków, w przypadku gęsi zbożowej zapisano:</w:t>
            </w:r>
          </w:p>
          <w:p w:rsidR="004D7DFF" w:rsidRPr="004D7DFF" w:rsidRDefault="004D7DFF" w:rsidP="004D7DFF">
            <w:pPr>
              <w:rPr>
                <w:b/>
                <w:i/>
                <w:color w:val="FF0000"/>
              </w:rPr>
            </w:pPr>
            <w:r w:rsidRPr="004D7DFF">
              <w:rPr>
                <w:i/>
              </w:rPr>
              <w:t xml:space="preserve">Liczebność populacji </w:t>
            </w:r>
            <w:proofErr w:type="spellStart"/>
            <w:r w:rsidRPr="004D7DFF">
              <w:rPr>
                <w:i/>
              </w:rPr>
              <w:t>nielęgowej</w:t>
            </w:r>
            <w:proofErr w:type="spellEnd"/>
            <w:r w:rsidRPr="004D7DFF">
              <w:rPr>
                <w:i/>
              </w:rPr>
              <w:t xml:space="preserve"> w cyklu wieloletnim (w co najmniej 3 z kolejnych 6 lat) nie niższa niż</w:t>
            </w:r>
            <w:r w:rsidRPr="004D7DFF">
              <w:rPr>
                <w:bCs/>
                <w:i/>
              </w:rPr>
              <w:t xml:space="preserve"> 50000 os. liczonych łącznie z gęsią tundrową, </w:t>
            </w:r>
            <w:r w:rsidRPr="004D7DFF">
              <w:rPr>
                <w:i/>
              </w:rPr>
              <w:t xml:space="preserve"> </w:t>
            </w:r>
          </w:p>
        </w:tc>
      </w:tr>
      <w:tr w:rsidR="00AA226D" w:rsidRPr="00A0495B" w:rsidTr="002616E2">
        <w:trPr>
          <w:trHeight w:val="20"/>
        </w:trPr>
        <w:tc>
          <w:tcPr>
            <w:tcW w:w="159" w:type="pct"/>
          </w:tcPr>
          <w:p w:rsidR="00AA226D" w:rsidRPr="00A0495B" w:rsidRDefault="00AA226D" w:rsidP="00102A12">
            <w:pPr>
              <w:pStyle w:val="Akapitzlist"/>
              <w:numPr>
                <w:ilvl w:val="0"/>
                <w:numId w:val="5"/>
              </w:numPr>
              <w:ind w:left="57" w:firstLine="0"/>
            </w:pPr>
          </w:p>
        </w:tc>
        <w:tc>
          <w:tcPr>
            <w:tcW w:w="463" w:type="pct"/>
          </w:tcPr>
          <w:p w:rsidR="00AA226D" w:rsidRPr="00A0495B" w:rsidRDefault="00AA226D" w:rsidP="002B4445">
            <w:r w:rsidRPr="00A0495B">
              <w:t>Osoba prywatna (Henryk Borowski)</w:t>
            </w:r>
          </w:p>
        </w:tc>
        <w:tc>
          <w:tcPr>
            <w:tcW w:w="464" w:type="pct"/>
          </w:tcPr>
          <w:p w:rsidR="00AA226D" w:rsidRPr="00A0495B" w:rsidRDefault="00AA226D" w:rsidP="002B4445">
            <w:r w:rsidRPr="00A0495B">
              <w:t>Rozdz</w:t>
            </w:r>
            <w:r w:rsidR="00D8591D">
              <w:t xml:space="preserve">. </w:t>
            </w:r>
            <w:r w:rsidRPr="00A0495B">
              <w:t>8</w:t>
            </w:r>
            <w:r w:rsidR="00D8591D">
              <w:t xml:space="preserve"> pkt. </w:t>
            </w:r>
            <w:r w:rsidRPr="00A0495B">
              <w:t>D,</w:t>
            </w:r>
            <w:r w:rsidR="00102A12">
              <w:t xml:space="preserve"> </w:t>
            </w:r>
            <w:r w:rsidRPr="00A0495B">
              <w:t xml:space="preserve">Lp. 1 </w:t>
            </w:r>
          </w:p>
          <w:p w:rsidR="00AA226D" w:rsidRPr="00A0495B" w:rsidRDefault="00AA226D" w:rsidP="002B4445">
            <w:pPr>
              <w:rPr>
                <w:rFonts w:cstheme="minorHAnsi"/>
              </w:rPr>
            </w:pPr>
            <w:r w:rsidRPr="00A0495B">
              <w:t>Lewy brzeg Postomi od ujścia Kanału Żółtego do ujścia Kanału Czerwonego</w:t>
            </w:r>
          </w:p>
        </w:tc>
        <w:tc>
          <w:tcPr>
            <w:tcW w:w="617" w:type="pct"/>
          </w:tcPr>
          <w:p w:rsidR="00AA226D" w:rsidRPr="00A0495B" w:rsidRDefault="00AA226D" w:rsidP="002B4445">
            <w:pPr>
              <w:rPr>
                <w:rFonts w:cstheme="minorHAnsi"/>
              </w:rPr>
            </w:pPr>
            <w:r w:rsidRPr="00A0495B">
              <w:t>Połów z brzegu od 16 czerwca do 31 grudnia, od świtu do zmierzchu</w:t>
            </w:r>
          </w:p>
        </w:tc>
        <w:tc>
          <w:tcPr>
            <w:tcW w:w="693" w:type="pct"/>
          </w:tcPr>
          <w:p w:rsidR="00AA226D" w:rsidRPr="00A0495B" w:rsidRDefault="00AA226D" w:rsidP="002B4445">
            <w:r w:rsidRPr="00A0495B">
              <w:t xml:space="preserve">Połów z brzegu </w:t>
            </w:r>
            <w:r w:rsidRPr="00A0495B">
              <w:rPr>
                <w:u w:val="single"/>
              </w:rPr>
              <w:t>od 1 lipca ….</w:t>
            </w:r>
          </w:p>
        </w:tc>
        <w:tc>
          <w:tcPr>
            <w:tcW w:w="1280" w:type="pct"/>
          </w:tcPr>
          <w:p w:rsidR="00AA226D" w:rsidRPr="00A0495B" w:rsidRDefault="00AA226D" w:rsidP="002B4445">
            <w:r w:rsidRPr="00A0495B">
              <w:t>Cały czerwiec jest okresem lęgowym, tym samym czasem intensywnego żerowania ptaków, których podstawowym terenem pozyskania pokarmu są brzegi wód.</w:t>
            </w:r>
            <w:r w:rsidR="00102A12">
              <w:t xml:space="preserve"> </w:t>
            </w:r>
            <w:r w:rsidRPr="00A0495B">
              <w:t>Przemieszczający, się od świtu do zmierzchu, wzdłuż brzegu Postomi wędkarze wykonujący liczne zarzucania przynęty powodują płoszenie ptactwa i innych zwierząt. Z uwagi na małą szerokość rzeki dotyczy to obu jej brzegów.</w:t>
            </w:r>
          </w:p>
          <w:p w:rsidR="00AA226D" w:rsidRPr="00A0495B" w:rsidRDefault="00AA226D" w:rsidP="002B4445">
            <w:r w:rsidRPr="00A0495B">
              <w:t>Patrząc z platformy obserwacyjnej, w drugiej połowie czerwca, wygląda to tak jakby kilkunastu, a nieraz i więcej osób wymachując kijami odganiało próbujące lądować na brzegach rzeki ptactwo.</w:t>
            </w:r>
          </w:p>
        </w:tc>
        <w:tc>
          <w:tcPr>
            <w:tcW w:w="1323" w:type="pct"/>
          </w:tcPr>
          <w:p w:rsidR="00AA226D" w:rsidRPr="00262215" w:rsidRDefault="00AA226D" w:rsidP="002B4445">
            <w:pPr>
              <w:rPr>
                <w:b/>
                <w:color w:val="FF0000"/>
              </w:rPr>
            </w:pPr>
            <w:r w:rsidRPr="00262215">
              <w:rPr>
                <w:b/>
                <w:color w:val="FF0000"/>
              </w:rPr>
              <w:t xml:space="preserve">Uwaga nieuwzględniona </w:t>
            </w:r>
          </w:p>
          <w:p w:rsidR="00AA226D" w:rsidRPr="002B4445" w:rsidRDefault="00AA226D" w:rsidP="002B4445">
            <w:pPr>
              <w:rPr>
                <w:i/>
              </w:rPr>
            </w:pPr>
            <w:r w:rsidRPr="002B4445">
              <w:t>Należy zaznaczyć, termin rozpoczęcia połowów na Postomii od 16 czerwca obowiązuje od wielu lat (w tym jest ujęty w Zarządzeniu Dyrektora z dnia 09.01.2017 r. w sprawie udostępnienia Parku Narodowego „Ujście Warty” do amatorskiego połowu ryb ) i nie zaobserwowano znaczącego negatywnego oddziaływania na lęgi ptaków. Tym niemniej w przypadku stwierdzenia takiego problemu możliwa jest zmiana stosownego zarządzenia Dyrektora Parku.</w:t>
            </w:r>
            <w:r w:rsidRPr="002B4445">
              <w:rPr>
                <w:i/>
              </w:rPr>
              <w:t xml:space="preserve"> </w:t>
            </w:r>
          </w:p>
        </w:tc>
      </w:tr>
      <w:tr w:rsidR="00AA226D" w:rsidRPr="00A0495B" w:rsidTr="002616E2">
        <w:trPr>
          <w:trHeight w:val="20"/>
        </w:trPr>
        <w:tc>
          <w:tcPr>
            <w:tcW w:w="159" w:type="pct"/>
          </w:tcPr>
          <w:p w:rsidR="00AA226D" w:rsidRPr="00A0495B" w:rsidRDefault="00AA226D" w:rsidP="00102A12">
            <w:pPr>
              <w:pStyle w:val="Akapitzlist"/>
              <w:numPr>
                <w:ilvl w:val="0"/>
                <w:numId w:val="5"/>
              </w:numPr>
              <w:ind w:left="57" w:firstLine="0"/>
            </w:pPr>
          </w:p>
        </w:tc>
        <w:tc>
          <w:tcPr>
            <w:tcW w:w="463" w:type="pct"/>
          </w:tcPr>
          <w:p w:rsidR="00AA226D" w:rsidRPr="00A0495B" w:rsidRDefault="00AA226D" w:rsidP="002B4445">
            <w:r w:rsidRPr="00A0495B">
              <w:t>Osoba prywatna (Henryk Borowski)</w:t>
            </w:r>
          </w:p>
        </w:tc>
        <w:tc>
          <w:tcPr>
            <w:tcW w:w="464" w:type="pct"/>
          </w:tcPr>
          <w:p w:rsidR="00AA226D" w:rsidRPr="00A0495B" w:rsidRDefault="00AA226D" w:rsidP="002B4445">
            <w:r w:rsidRPr="00A0495B">
              <w:t>Rozdz</w:t>
            </w:r>
            <w:r w:rsidR="00D8591D">
              <w:t xml:space="preserve">. </w:t>
            </w:r>
            <w:r w:rsidRPr="00A0495B">
              <w:t>8</w:t>
            </w:r>
            <w:r w:rsidR="00D8591D">
              <w:t xml:space="preserve"> pkt. </w:t>
            </w:r>
            <w:r w:rsidRPr="00A0495B">
              <w:t>D,</w:t>
            </w:r>
            <w:r w:rsidR="00102A12">
              <w:t xml:space="preserve"> </w:t>
            </w:r>
            <w:r w:rsidRPr="00A0495B">
              <w:t>Lp.2</w:t>
            </w:r>
          </w:p>
          <w:p w:rsidR="00AA226D" w:rsidRPr="00A0495B" w:rsidRDefault="00AA226D" w:rsidP="002B4445">
            <w:pPr>
              <w:rPr>
                <w:rFonts w:cstheme="minorHAnsi"/>
              </w:rPr>
            </w:pPr>
            <w:r w:rsidRPr="00A0495B">
              <w:t>Lewy brzeg Postomi od ujścia Kanału Czerwonego do ujścia Postomi do Warty</w:t>
            </w:r>
          </w:p>
        </w:tc>
        <w:tc>
          <w:tcPr>
            <w:tcW w:w="617" w:type="pct"/>
          </w:tcPr>
          <w:p w:rsidR="00AA226D" w:rsidRPr="00A0495B" w:rsidRDefault="00AA226D" w:rsidP="002B4445">
            <w:pPr>
              <w:rPr>
                <w:rFonts w:cstheme="minorHAnsi"/>
              </w:rPr>
            </w:pPr>
            <w:r w:rsidRPr="00A0495B">
              <w:t>Połów z brzegu od 16 czerwca do 31 grudnia, od świtu do zmierzchu</w:t>
            </w:r>
          </w:p>
        </w:tc>
        <w:tc>
          <w:tcPr>
            <w:tcW w:w="693" w:type="pct"/>
          </w:tcPr>
          <w:p w:rsidR="00AA226D" w:rsidRPr="00A0495B" w:rsidRDefault="00AA226D" w:rsidP="002B4445">
            <w:pPr>
              <w:rPr>
                <w:rFonts w:cstheme="minorHAnsi"/>
              </w:rPr>
            </w:pPr>
            <w:r w:rsidRPr="00A0495B">
              <w:t xml:space="preserve">Połów z brzegu </w:t>
            </w:r>
            <w:r w:rsidRPr="00A0495B">
              <w:rPr>
                <w:u w:val="single"/>
              </w:rPr>
              <w:t>od 1 lipca ….</w:t>
            </w:r>
          </w:p>
        </w:tc>
        <w:tc>
          <w:tcPr>
            <w:tcW w:w="1280" w:type="pct"/>
          </w:tcPr>
          <w:p w:rsidR="00AA226D" w:rsidRPr="00A0495B" w:rsidRDefault="00AA226D" w:rsidP="002B4445">
            <w:r w:rsidRPr="00A0495B">
              <w:t>Jak wyżej</w:t>
            </w:r>
          </w:p>
        </w:tc>
        <w:tc>
          <w:tcPr>
            <w:tcW w:w="1323" w:type="pct"/>
          </w:tcPr>
          <w:p w:rsidR="00AA226D" w:rsidRPr="00102A12" w:rsidRDefault="00AA226D" w:rsidP="002B4445">
            <w:pPr>
              <w:rPr>
                <w:b/>
                <w:color w:val="FF0000"/>
              </w:rPr>
            </w:pPr>
            <w:r w:rsidRPr="00102A12">
              <w:rPr>
                <w:b/>
                <w:color w:val="FF0000"/>
              </w:rPr>
              <w:t xml:space="preserve">Uwaga nieuwzględniona </w:t>
            </w:r>
          </w:p>
          <w:p w:rsidR="00AA226D" w:rsidRPr="002B4445" w:rsidRDefault="00AA226D" w:rsidP="002B4445">
            <w:pPr>
              <w:rPr>
                <w:i/>
              </w:rPr>
            </w:pPr>
            <w:r w:rsidRPr="002B4445">
              <w:t>Należy zaznaczyć, termin rozpoczęcia połowów na Postomii od 16 czerwca obowiązuje od wielu lat (w tym jest ujęty w Zarządzeniu Dyrektora z dnia 09.01.2017 r. w sprawie udostępnienia Parku Narodowego „Ujście Warty” do amatorskiego połowu ryb ) i nie zaobserwowano znaczącego negatywnego oddziaływania na lęgi ptaków. Tym niemniej w przypadku stwierdzenia takiego problemu możliwa jest zmiana stosownego zarządzenia Dyrektora Parku.</w:t>
            </w:r>
            <w:r w:rsidRPr="002B4445">
              <w:rPr>
                <w:i/>
              </w:rPr>
              <w:t xml:space="preserve"> </w:t>
            </w:r>
          </w:p>
        </w:tc>
      </w:tr>
    </w:tbl>
    <w:p w:rsidR="000E746E" w:rsidRDefault="000E746E" w:rsidP="002616E2"/>
    <w:sectPr w:rsidR="000E746E" w:rsidSect="00A0495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97" w:rsidRDefault="007D3D97" w:rsidP="002B4445">
      <w:r>
        <w:separator/>
      </w:r>
    </w:p>
  </w:endnote>
  <w:endnote w:type="continuationSeparator" w:id="0">
    <w:p w:rsidR="007D3D97" w:rsidRDefault="007D3D97" w:rsidP="002B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font415">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97" w:rsidRDefault="007D3D97" w:rsidP="002B4445">
      <w:r>
        <w:separator/>
      </w:r>
    </w:p>
  </w:footnote>
  <w:footnote w:type="continuationSeparator" w:id="0">
    <w:p w:rsidR="007D3D97" w:rsidRDefault="007D3D97" w:rsidP="002B4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E8FC74"/>
    <w:lvl w:ilvl="0">
      <w:start w:val="1"/>
      <w:numFmt w:val="decimal"/>
      <w:pStyle w:val="Nagwek1"/>
      <w:lvlText w:val="%1."/>
      <w:lvlJc w:val="left"/>
      <w:pPr>
        <w:tabs>
          <w:tab w:val="num" w:pos="0"/>
        </w:tabs>
        <w:ind w:left="360" w:hanging="360"/>
      </w:pPr>
      <w:rPr>
        <w:i w:val="0"/>
      </w:rPr>
    </w:lvl>
    <w:lvl w:ilvl="1">
      <w:start w:val="1"/>
      <w:numFmt w:val="decimal"/>
      <w:lvlText w:val="%1.%2."/>
      <w:lvlJc w:val="left"/>
      <w:pPr>
        <w:tabs>
          <w:tab w:val="num" w:pos="0"/>
        </w:tabs>
        <w:ind w:left="792" w:hanging="432"/>
      </w:pPr>
      <w:rPr>
        <w:b/>
        <w:i w:val="0"/>
        <w:color w:val="auto"/>
      </w:rPr>
    </w:lvl>
    <w:lvl w:ilvl="2">
      <w:start w:val="1"/>
      <w:numFmt w:val="decimal"/>
      <w:lvlText w:val="%1.%2.%3."/>
      <w:lvlJc w:val="left"/>
      <w:pPr>
        <w:tabs>
          <w:tab w:val="num" w:pos="-152"/>
        </w:tabs>
        <w:ind w:left="1072" w:hanging="504"/>
      </w:pPr>
      <w:rPr>
        <w:b w:val="0"/>
        <w:bCs w:val="0"/>
        <w:i w:val="0"/>
        <w:caps w:val="0"/>
        <w:smallCaps w:val="0"/>
        <w:strike w:val="0"/>
        <w:dstrike w:val="0"/>
        <w:vanish w:val="0"/>
        <w:color w:val="00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8B21B0"/>
    <w:multiLevelType w:val="hybridMultilevel"/>
    <w:tmpl w:val="1494C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FA0AE2"/>
    <w:multiLevelType w:val="hybridMultilevel"/>
    <w:tmpl w:val="70DC2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02217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B773BAD"/>
    <w:multiLevelType w:val="hybridMultilevel"/>
    <w:tmpl w:val="0FCA09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5B"/>
    <w:rsid w:val="00087EEF"/>
    <w:rsid w:val="000E746E"/>
    <w:rsid w:val="00102A12"/>
    <w:rsid w:val="002616E2"/>
    <w:rsid w:val="00262215"/>
    <w:rsid w:val="00281AEA"/>
    <w:rsid w:val="002B4445"/>
    <w:rsid w:val="003572EE"/>
    <w:rsid w:val="003C2065"/>
    <w:rsid w:val="004D7DFF"/>
    <w:rsid w:val="00684DF7"/>
    <w:rsid w:val="00715EF8"/>
    <w:rsid w:val="00721F60"/>
    <w:rsid w:val="007D3D97"/>
    <w:rsid w:val="008E7CAB"/>
    <w:rsid w:val="008F4EF9"/>
    <w:rsid w:val="00991491"/>
    <w:rsid w:val="009A3CC5"/>
    <w:rsid w:val="00A0495B"/>
    <w:rsid w:val="00AA226D"/>
    <w:rsid w:val="00B36D63"/>
    <w:rsid w:val="00C17B03"/>
    <w:rsid w:val="00CE335A"/>
    <w:rsid w:val="00D8591D"/>
    <w:rsid w:val="00DA5212"/>
    <w:rsid w:val="00DD2F99"/>
    <w:rsid w:val="00E6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6E2"/>
    <w:pPr>
      <w:spacing w:after="0" w:line="240" w:lineRule="auto"/>
    </w:pPr>
    <w:rPr>
      <w:rFonts w:ascii="Lato" w:hAnsi="Lato" w:cs="Calibri"/>
      <w:sz w:val="18"/>
      <w:szCs w:val="18"/>
      <w:lang w:eastAsia="pl-PL"/>
    </w:rPr>
  </w:style>
  <w:style w:type="paragraph" w:styleId="Nagwek1">
    <w:name w:val="heading 1"/>
    <w:next w:val="Tekstpodstawowy"/>
    <w:link w:val="Nagwek1Znak"/>
    <w:qFormat/>
    <w:rsid w:val="003C2065"/>
    <w:pPr>
      <w:widowControl w:val="0"/>
      <w:numPr>
        <w:numId w:val="1"/>
      </w:numPr>
      <w:suppressAutoHyphens/>
      <w:spacing w:before="240"/>
      <w:outlineLvl w:val="0"/>
    </w:pPr>
    <w:rPr>
      <w:rFonts w:ascii="Calibri" w:eastAsia="SimSun" w:hAnsi="Calibri" w:cs="font415"/>
      <w:b/>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2065"/>
    <w:rPr>
      <w:rFonts w:ascii="Calibri" w:eastAsia="SimSun" w:hAnsi="Calibri" w:cs="font415"/>
      <w:b/>
      <w:sz w:val="28"/>
      <w:szCs w:val="28"/>
      <w:lang w:eastAsia="ar-SA"/>
    </w:rPr>
  </w:style>
  <w:style w:type="paragraph" w:styleId="Tekstpodstawowy">
    <w:name w:val="Body Text"/>
    <w:basedOn w:val="Normalny"/>
    <w:link w:val="TekstpodstawowyZnak"/>
    <w:unhideWhenUsed/>
    <w:rsid w:val="003C2065"/>
    <w:pPr>
      <w:spacing w:after="120"/>
    </w:pPr>
  </w:style>
  <w:style w:type="character" w:customStyle="1" w:styleId="TekstpodstawowyZnak">
    <w:name w:val="Tekst podstawowy Znak"/>
    <w:basedOn w:val="Domylnaczcionkaakapitu"/>
    <w:link w:val="Tekstpodstawowy"/>
    <w:rsid w:val="003C2065"/>
    <w:rPr>
      <w:rFonts w:ascii="Calibri" w:hAnsi="Calibri" w:cs="Calibri"/>
      <w:lang w:eastAsia="pl-PL"/>
    </w:rPr>
  </w:style>
  <w:style w:type="table" w:styleId="Tabela-Siatka">
    <w:name w:val="Table Grid"/>
    <w:basedOn w:val="Standardowy"/>
    <w:uiPriority w:val="59"/>
    <w:rsid w:val="00A0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A5212"/>
    <w:rPr>
      <w:sz w:val="20"/>
      <w:szCs w:val="20"/>
    </w:rPr>
  </w:style>
  <w:style w:type="character" w:customStyle="1" w:styleId="TekstprzypisukocowegoZnak">
    <w:name w:val="Tekst przypisu końcowego Znak"/>
    <w:basedOn w:val="Domylnaczcionkaakapitu"/>
    <w:link w:val="Tekstprzypisukocowego"/>
    <w:uiPriority w:val="99"/>
    <w:semiHidden/>
    <w:rsid w:val="00DA5212"/>
    <w:rPr>
      <w:rFonts w:ascii="Calibri" w:hAnsi="Calibri" w:cs="Calibri"/>
      <w:sz w:val="20"/>
      <w:szCs w:val="20"/>
      <w:lang w:eastAsia="pl-PL"/>
    </w:rPr>
  </w:style>
  <w:style w:type="character" w:styleId="Odwoanieprzypisukocowego">
    <w:name w:val="endnote reference"/>
    <w:basedOn w:val="Domylnaczcionkaakapitu"/>
    <w:uiPriority w:val="99"/>
    <w:semiHidden/>
    <w:unhideWhenUsed/>
    <w:rsid w:val="00DA5212"/>
    <w:rPr>
      <w:vertAlign w:val="superscript"/>
    </w:rPr>
  </w:style>
  <w:style w:type="character" w:customStyle="1" w:styleId="ui-provider">
    <w:name w:val="ui-provider"/>
    <w:basedOn w:val="Domylnaczcionkaakapitu"/>
    <w:rsid w:val="002B4445"/>
  </w:style>
  <w:style w:type="paragraph" w:styleId="Akapitzlist">
    <w:name w:val="List Paragraph"/>
    <w:aliases w:val="lp1,List Paragraph2,L1,Numerowanie"/>
    <w:basedOn w:val="Normalny"/>
    <w:link w:val="AkapitzlistZnak"/>
    <w:uiPriority w:val="34"/>
    <w:qFormat/>
    <w:rsid w:val="002B4445"/>
    <w:pPr>
      <w:ind w:left="720"/>
      <w:contextualSpacing/>
    </w:pPr>
  </w:style>
  <w:style w:type="character" w:customStyle="1" w:styleId="AkapitzlistZnak">
    <w:name w:val="Akapit z listą Znak"/>
    <w:aliases w:val="lp1 Znak,List Paragraph2 Znak,L1 Znak,Numerowanie Znak"/>
    <w:link w:val="Akapitzlist"/>
    <w:uiPriority w:val="34"/>
    <w:qFormat/>
    <w:rsid w:val="009A3CC5"/>
    <w:rPr>
      <w:rFonts w:ascii="Lato" w:hAnsi="Lato" w:cs="Calibr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6E2"/>
    <w:pPr>
      <w:spacing w:after="0" w:line="240" w:lineRule="auto"/>
    </w:pPr>
    <w:rPr>
      <w:rFonts w:ascii="Lato" w:hAnsi="Lato" w:cs="Calibri"/>
      <w:sz w:val="18"/>
      <w:szCs w:val="18"/>
      <w:lang w:eastAsia="pl-PL"/>
    </w:rPr>
  </w:style>
  <w:style w:type="paragraph" w:styleId="Nagwek1">
    <w:name w:val="heading 1"/>
    <w:next w:val="Tekstpodstawowy"/>
    <w:link w:val="Nagwek1Znak"/>
    <w:qFormat/>
    <w:rsid w:val="003C2065"/>
    <w:pPr>
      <w:widowControl w:val="0"/>
      <w:numPr>
        <w:numId w:val="1"/>
      </w:numPr>
      <w:suppressAutoHyphens/>
      <w:spacing w:before="240"/>
      <w:outlineLvl w:val="0"/>
    </w:pPr>
    <w:rPr>
      <w:rFonts w:ascii="Calibri" w:eastAsia="SimSun" w:hAnsi="Calibri" w:cs="font415"/>
      <w:b/>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2065"/>
    <w:rPr>
      <w:rFonts w:ascii="Calibri" w:eastAsia="SimSun" w:hAnsi="Calibri" w:cs="font415"/>
      <w:b/>
      <w:sz w:val="28"/>
      <w:szCs w:val="28"/>
      <w:lang w:eastAsia="ar-SA"/>
    </w:rPr>
  </w:style>
  <w:style w:type="paragraph" w:styleId="Tekstpodstawowy">
    <w:name w:val="Body Text"/>
    <w:basedOn w:val="Normalny"/>
    <w:link w:val="TekstpodstawowyZnak"/>
    <w:unhideWhenUsed/>
    <w:rsid w:val="003C2065"/>
    <w:pPr>
      <w:spacing w:after="120"/>
    </w:pPr>
  </w:style>
  <w:style w:type="character" w:customStyle="1" w:styleId="TekstpodstawowyZnak">
    <w:name w:val="Tekst podstawowy Znak"/>
    <w:basedOn w:val="Domylnaczcionkaakapitu"/>
    <w:link w:val="Tekstpodstawowy"/>
    <w:rsid w:val="003C2065"/>
    <w:rPr>
      <w:rFonts w:ascii="Calibri" w:hAnsi="Calibri" w:cs="Calibri"/>
      <w:lang w:eastAsia="pl-PL"/>
    </w:rPr>
  </w:style>
  <w:style w:type="table" w:styleId="Tabela-Siatka">
    <w:name w:val="Table Grid"/>
    <w:basedOn w:val="Standardowy"/>
    <w:uiPriority w:val="59"/>
    <w:rsid w:val="00A0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A5212"/>
    <w:rPr>
      <w:sz w:val="20"/>
      <w:szCs w:val="20"/>
    </w:rPr>
  </w:style>
  <w:style w:type="character" w:customStyle="1" w:styleId="TekstprzypisukocowegoZnak">
    <w:name w:val="Tekst przypisu końcowego Znak"/>
    <w:basedOn w:val="Domylnaczcionkaakapitu"/>
    <w:link w:val="Tekstprzypisukocowego"/>
    <w:uiPriority w:val="99"/>
    <w:semiHidden/>
    <w:rsid w:val="00DA5212"/>
    <w:rPr>
      <w:rFonts w:ascii="Calibri" w:hAnsi="Calibri" w:cs="Calibri"/>
      <w:sz w:val="20"/>
      <w:szCs w:val="20"/>
      <w:lang w:eastAsia="pl-PL"/>
    </w:rPr>
  </w:style>
  <w:style w:type="character" w:styleId="Odwoanieprzypisukocowego">
    <w:name w:val="endnote reference"/>
    <w:basedOn w:val="Domylnaczcionkaakapitu"/>
    <w:uiPriority w:val="99"/>
    <w:semiHidden/>
    <w:unhideWhenUsed/>
    <w:rsid w:val="00DA5212"/>
    <w:rPr>
      <w:vertAlign w:val="superscript"/>
    </w:rPr>
  </w:style>
  <w:style w:type="character" w:customStyle="1" w:styleId="ui-provider">
    <w:name w:val="ui-provider"/>
    <w:basedOn w:val="Domylnaczcionkaakapitu"/>
    <w:rsid w:val="002B4445"/>
  </w:style>
  <w:style w:type="paragraph" w:styleId="Akapitzlist">
    <w:name w:val="List Paragraph"/>
    <w:aliases w:val="lp1,List Paragraph2,L1,Numerowanie"/>
    <w:basedOn w:val="Normalny"/>
    <w:link w:val="AkapitzlistZnak"/>
    <w:uiPriority w:val="34"/>
    <w:qFormat/>
    <w:rsid w:val="002B4445"/>
    <w:pPr>
      <w:ind w:left="720"/>
      <w:contextualSpacing/>
    </w:pPr>
  </w:style>
  <w:style w:type="character" w:customStyle="1" w:styleId="AkapitzlistZnak">
    <w:name w:val="Akapit z listą Znak"/>
    <w:aliases w:val="lp1 Znak,List Paragraph2 Znak,L1 Znak,Numerowanie Znak"/>
    <w:link w:val="Akapitzlist"/>
    <w:uiPriority w:val="34"/>
    <w:qFormat/>
    <w:rsid w:val="009A3CC5"/>
    <w:rPr>
      <w:rFonts w:ascii="Lato" w:hAnsi="Lato" w:cs="Calibr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2699</Words>
  <Characters>16199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 3</dc:creator>
  <cp:lastModifiedBy>Autor 3</cp:lastModifiedBy>
  <cp:revision>9</cp:revision>
  <dcterms:created xsi:type="dcterms:W3CDTF">2023-10-03T12:45:00Z</dcterms:created>
  <dcterms:modified xsi:type="dcterms:W3CDTF">2023-10-04T09:51:00Z</dcterms:modified>
</cp:coreProperties>
</file>